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E713B" w14:textId="4AEEA24F" w:rsidR="008D7E0E" w:rsidRDefault="00AD572A" w:rsidP="00EF4B73">
      <w:pPr>
        <w:jc w:val="center"/>
      </w:pPr>
      <w:r w:rsidRPr="00D42AA0">
        <w:rPr>
          <w:noProof/>
          <w:color w:val="000000"/>
          <w:sz w:val="28"/>
          <w:szCs w:val="28"/>
        </w:rPr>
        <mc:AlternateContent>
          <mc:Choice Requires="wps">
            <w:drawing>
              <wp:anchor distT="0" distB="0" distL="114300" distR="114300" simplePos="0" relativeHeight="251659264" behindDoc="1" locked="0" layoutInCell="1" allowOverlap="1" wp14:anchorId="3FD5A0F1" wp14:editId="519DFDAE">
                <wp:simplePos x="0" y="0"/>
                <wp:positionH relativeFrom="column">
                  <wp:posOffset>-902486</wp:posOffset>
                </wp:positionH>
                <wp:positionV relativeFrom="paragraph">
                  <wp:posOffset>-759518</wp:posOffset>
                </wp:positionV>
                <wp:extent cx="7753350" cy="10710863"/>
                <wp:effectExtent l="0" t="0" r="0" b="0"/>
                <wp:wrapNone/>
                <wp:docPr id="72" name="직사각형 72"/>
                <wp:cNvGraphicFramePr/>
                <a:graphic xmlns:a="http://schemas.openxmlformats.org/drawingml/2006/main">
                  <a:graphicData uri="http://schemas.microsoft.com/office/word/2010/wordprocessingShape">
                    <wps:wsp>
                      <wps:cNvSpPr/>
                      <wps:spPr>
                        <a:xfrm>
                          <a:off x="0" y="0"/>
                          <a:ext cx="7753350" cy="10710863"/>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14669" id="직사각형 72" o:spid="_x0000_s1026" style="position:absolute;margin-left:-71.05pt;margin-top:-59.8pt;width:610.5pt;height:84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" stroked="f" strokeweight="2pt">
                <v:fill r:id="rId12" o:title="" recolor="t" rotate="t" type="frame"/>
              </v:rect>
            </w:pict>
          </mc:Fallback>
        </mc:AlternateContent>
      </w:r>
    </w:p>
    <w:p w14:paraId="3D6329D4" w14:textId="77777777" w:rsidR="00CD41A9" w:rsidRPr="00F725D8" w:rsidRDefault="00CD41A9" w:rsidP="00CD41A9">
      <w:pPr>
        <w:contextualSpacing/>
        <w:rPr>
          <w:sz w:val="28"/>
          <w:szCs w:val="28"/>
        </w:rPr>
      </w:pPr>
    </w:p>
    <w:p w14:paraId="2048771E" w14:textId="77777777" w:rsidR="00CD41A9" w:rsidRPr="00F725D8" w:rsidRDefault="00CD41A9" w:rsidP="00CD41A9">
      <w:pPr>
        <w:contextualSpacing/>
        <w:rPr>
          <w:sz w:val="28"/>
          <w:szCs w:val="28"/>
        </w:rPr>
      </w:pPr>
    </w:p>
    <w:p w14:paraId="170E9038" w14:textId="77777777" w:rsidR="00CD41A9" w:rsidRPr="00F725D8" w:rsidRDefault="00CD41A9" w:rsidP="00CD41A9">
      <w:pPr>
        <w:ind w:firstLine="720"/>
        <w:contextualSpacing/>
        <w:rPr>
          <w:sz w:val="28"/>
          <w:szCs w:val="28"/>
        </w:rPr>
      </w:pPr>
    </w:p>
    <w:p w14:paraId="24BF716A" w14:textId="77777777" w:rsidR="00CD41A9" w:rsidRPr="00F725D8" w:rsidRDefault="00CD41A9" w:rsidP="00CD41A9">
      <w:pPr>
        <w:contextualSpacing/>
        <w:rPr>
          <w:sz w:val="28"/>
          <w:szCs w:val="28"/>
        </w:rPr>
      </w:pPr>
    </w:p>
    <w:p w14:paraId="5F6EA468" w14:textId="77777777" w:rsidR="00CD41A9" w:rsidRPr="00F725D8" w:rsidRDefault="00CD41A9" w:rsidP="00CD41A9">
      <w:pPr>
        <w:ind w:firstLineChars="100" w:firstLine="280"/>
        <w:contextualSpacing/>
        <w:rPr>
          <w:sz w:val="28"/>
          <w:szCs w:val="28"/>
        </w:rPr>
      </w:pPr>
    </w:p>
    <w:p w14:paraId="32A60CC3" w14:textId="77777777" w:rsidR="00CD41A9" w:rsidRPr="00F725D8" w:rsidRDefault="00CD41A9" w:rsidP="00CD41A9">
      <w:pPr>
        <w:contextualSpacing/>
        <w:rPr>
          <w:sz w:val="28"/>
          <w:szCs w:val="28"/>
        </w:rPr>
      </w:pPr>
    </w:p>
    <w:p w14:paraId="27446CA8" w14:textId="77777777" w:rsidR="00CD41A9" w:rsidRPr="00F725D8" w:rsidRDefault="00CD41A9" w:rsidP="00CD41A9">
      <w:pPr>
        <w:tabs>
          <w:tab w:val="left" w:pos="1365"/>
        </w:tabs>
        <w:contextualSpacing/>
        <w:rPr>
          <w:sz w:val="28"/>
          <w:szCs w:val="28"/>
        </w:rPr>
      </w:pPr>
      <w:r w:rsidRPr="00F725D8">
        <w:rPr>
          <w:sz w:val="28"/>
          <w:szCs w:val="28"/>
        </w:rPr>
        <w:tab/>
      </w:r>
    </w:p>
    <w:p w14:paraId="07093E61" w14:textId="77777777" w:rsidR="00CD41A9" w:rsidRPr="00F725D8" w:rsidRDefault="00CD41A9" w:rsidP="00CD41A9">
      <w:pPr>
        <w:contextualSpacing/>
      </w:pPr>
      <w:r w:rsidRPr="00F725D8">
        <w:rPr>
          <w:b/>
          <w:bCs/>
          <w:noProof/>
        </w:rPr>
        <w:drawing>
          <wp:inline distT="0" distB="0" distL="0" distR="0" wp14:anchorId="3E79259E" wp14:editId="48A4F312">
            <wp:extent cx="853440" cy="731520"/>
            <wp:effectExtent l="0" t="0" r="3810" b="0"/>
            <wp:docPr id="2074715473"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08AABE72" w14:textId="77777777" w:rsidR="00CD41A9" w:rsidRPr="00F725D8" w:rsidRDefault="00CD41A9" w:rsidP="00CD41A9">
      <w:pPr>
        <w:spacing w:line="276" w:lineRule="auto"/>
        <w:contextualSpacing/>
        <w:rPr>
          <w:sz w:val="28"/>
          <w:szCs w:val="28"/>
        </w:rPr>
      </w:pPr>
    </w:p>
    <w:p w14:paraId="1958DF87" w14:textId="77777777" w:rsidR="00CD41A9" w:rsidRPr="00F725D8" w:rsidRDefault="00CD41A9" w:rsidP="00CD41A9">
      <w:pPr>
        <w:spacing w:line="276" w:lineRule="auto"/>
        <w:contextualSpacing/>
        <w:rPr>
          <w:sz w:val="28"/>
          <w:szCs w:val="28"/>
        </w:rPr>
      </w:pPr>
    </w:p>
    <w:p w14:paraId="0183F5CB" w14:textId="77777777" w:rsidR="00CD41A9" w:rsidRPr="00F725D8" w:rsidRDefault="00CD41A9" w:rsidP="00CD41A9">
      <w:pPr>
        <w:spacing w:line="276" w:lineRule="auto"/>
        <w:contextualSpacing/>
        <w:rPr>
          <w:b/>
          <w:bCs/>
          <w:sz w:val="44"/>
          <w:szCs w:val="44"/>
        </w:rPr>
      </w:pPr>
      <w:r w:rsidRPr="00F725D8">
        <w:rPr>
          <w:b/>
          <w:bCs/>
          <w:sz w:val="44"/>
          <w:szCs w:val="44"/>
        </w:rPr>
        <w:t>APT REPORT ON</w:t>
      </w:r>
    </w:p>
    <w:p w14:paraId="76A72BA0" w14:textId="77777777" w:rsidR="00AD572A" w:rsidRPr="00AD572A" w:rsidRDefault="00AD572A" w:rsidP="00AD572A">
      <w:pPr>
        <w:tabs>
          <w:tab w:val="left" w:pos="1440"/>
        </w:tabs>
        <w:snapToGrid/>
        <w:spacing w:afterLines="0" w:after="160" w:line="276" w:lineRule="auto"/>
        <w:contextualSpacing/>
        <w:jc w:val="left"/>
        <w:rPr>
          <w:rFonts w:cs="Mangal"/>
          <w:color w:val="000000"/>
          <w:sz w:val="28"/>
          <w:szCs w:val="28"/>
        </w:rPr>
      </w:pPr>
    </w:p>
    <w:p w14:paraId="06419A9B" w14:textId="6D79A4C7" w:rsidR="00AD572A" w:rsidRPr="00AD572A" w:rsidRDefault="00AD572A" w:rsidP="00AD572A">
      <w:pPr>
        <w:snapToGrid/>
        <w:spacing w:afterLines="0" w:after="160" w:line="276" w:lineRule="auto"/>
        <w:contextualSpacing/>
        <w:jc w:val="left"/>
        <w:rPr>
          <w:rFonts w:cs="Mangal"/>
          <w:b/>
          <w:bCs/>
          <w:sz w:val="30"/>
          <w:szCs w:val="30"/>
        </w:rPr>
      </w:pPr>
      <w:r w:rsidRPr="00AD572A">
        <w:rPr>
          <w:rFonts w:cs="Mangal"/>
          <w:b/>
          <w:bCs/>
          <w:sz w:val="30"/>
          <w:szCs w:val="30"/>
        </w:rPr>
        <w:t>TECHNICAL AND REGULATORY ASPECTS OF RAN AND SPECTRUM SHARING IN IMT NETWORKS AMONG MOBILE NETWORK OPERATORS IN THE ASIA PACIFIC REGION</w:t>
      </w:r>
    </w:p>
    <w:p w14:paraId="1DD4DAFE" w14:textId="77777777" w:rsidR="00AD572A" w:rsidRDefault="00AD572A" w:rsidP="00AD572A">
      <w:pPr>
        <w:snapToGrid/>
        <w:spacing w:afterLines="0" w:after="160" w:line="276" w:lineRule="auto"/>
        <w:contextualSpacing/>
        <w:jc w:val="left"/>
        <w:rPr>
          <w:rFonts w:cs="Mangal"/>
          <w:sz w:val="28"/>
          <w:szCs w:val="28"/>
        </w:rPr>
      </w:pPr>
    </w:p>
    <w:p w14:paraId="7CEF676D" w14:textId="77777777" w:rsidR="00AD572A" w:rsidRPr="00AD572A" w:rsidRDefault="00AD572A" w:rsidP="00AD572A">
      <w:pPr>
        <w:snapToGrid/>
        <w:spacing w:afterLines="0" w:after="160" w:line="276" w:lineRule="auto"/>
        <w:contextualSpacing/>
        <w:jc w:val="left"/>
        <w:rPr>
          <w:rFonts w:cs="Mangal"/>
          <w:sz w:val="28"/>
          <w:szCs w:val="28"/>
        </w:rPr>
      </w:pPr>
    </w:p>
    <w:p w14:paraId="09E1FBF9" w14:textId="77777777" w:rsidR="00AD572A" w:rsidRPr="00AD572A" w:rsidRDefault="00AD572A" w:rsidP="00AD572A">
      <w:pPr>
        <w:snapToGrid/>
        <w:spacing w:afterLines="0" w:after="160" w:line="276" w:lineRule="auto"/>
        <w:contextualSpacing/>
        <w:jc w:val="left"/>
        <w:rPr>
          <w:rFonts w:cs="Mangal"/>
          <w:sz w:val="28"/>
          <w:szCs w:val="28"/>
        </w:rPr>
      </w:pPr>
    </w:p>
    <w:p w14:paraId="3D8C2DB0" w14:textId="1B6B7CE5" w:rsidR="00AD572A" w:rsidRPr="00AD572A" w:rsidRDefault="00AD572A" w:rsidP="00AD572A">
      <w:pPr>
        <w:snapToGrid/>
        <w:spacing w:afterLines="0" w:after="160" w:line="276" w:lineRule="auto"/>
        <w:contextualSpacing/>
        <w:jc w:val="left"/>
        <w:rPr>
          <w:rFonts w:cs="Mangal"/>
          <w:b/>
          <w:sz w:val="28"/>
          <w:szCs w:val="28"/>
        </w:rPr>
      </w:pPr>
      <w:r w:rsidRPr="00AD572A">
        <w:rPr>
          <w:rFonts w:cs="Mangal"/>
          <w:b/>
          <w:sz w:val="28"/>
          <w:szCs w:val="28"/>
        </w:rPr>
        <w:t xml:space="preserve">Edition: </w:t>
      </w:r>
      <w:r>
        <w:rPr>
          <w:rFonts w:cs="Mangal"/>
          <w:b/>
          <w:sz w:val="28"/>
          <w:szCs w:val="28"/>
        </w:rPr>
        <w:t>September</w:t>
      </w:r>
      <w:r w:rsidRPr="00AD572A">
        <w:rPr>
          <w:rFonts w:cs="Mangal"/>
          <w:b/>
          <w:sz w:val="28"/>
          <w:szCs w:val="28"/>
        </w:rPr>
        <w:t xml:space="preserve"> 2025</w:t>
      </w:r>
    </w:p>
    <w:p w14:paraId="45C1958D" w14:textId="77777777" w:rsidR="00AD572A" w:rsidRPr="00AD572A" w:rsidRDefault="00AD572A" w:rsidP="00AD572A">
      <w:pPr>
        <w:snapToGrid/>
        <w:spacing w:afterLines="0" w:after="160" w:line="276" w:lineRule="auto"/>
        <w:contextualSpacing/>
        <w:jc w:val="left"/>
        <w:rPr>
          <w:rFonts w:cs="Mangal"/>
          <w:bCs/>
          <w:sz w:val="28"/>
          <w:szCs w:val="28"/>
        </w:rPr>
      </w:pPr>
    </w:p>
    <w:p w14:paraId="2E93092E" w14:textId="77777777" w:rsidR="00AD572A" w:rsidRPr="00AD572A" w:rsidRDefault="00AD572A" w:rsidP="00AD572A">
      <w:pPr>
        <w:snapToGrid/>
        <w:spacing w:afterLines="0" w:after="160" w:line="276" w:lineRule="auto"/>
        <w:contextualSpacing/>
        <w:jc w:val="left"/>
        <w:rPr>
          <w:rFonts w:cs="Mangal"/>
          <w:bCs/>
          <w:sz w:val="28"/>
          <w:szCs w:val="28"/>
        </w:rPr>
      </w:pPr>
    </w:p>
    <w:p w14:paraId="59D40413" w14:textId="77777777" w:rsidR="00AD572A" w:rsidRPr="00AD572A" w:rsidRDefault="00AD572A" w:rsidP="00AD572A">
      <w:pPr>
        <w:snapToGrid/>
        <w:spacing w:afterLines="0" w:after="160" w:line="276" w:lineRule="auto"/>
        <w:contextualSpacing/>
        <w:jc w:val="left"/>
        <w:rPr>
          <w:rFonts w:cs="Mangal"/>
          <w:bCs/>
          <w:sz w:val="28"/>
          <w:szCs w:val="28"/>
        </w:rPr>
      </w:pPr>
    </w:p>
    <w:p w14:paraId="35AD28FD" w14:textId="5C95185A" w:rsidR="00AD572A" w:rsidRPr="00AD572A" w:rsidRDefault="00AD572A" w:rsidP="00AD572A">
      <w:pPr>
        <w:snapToGrid/>
        <w:spacing w:afterLines="0" w:after="160" w:line="276" w:lineRule="auto"/>
        <w:contextualSpacing/>
        <w:jc w:val="left"/>
        <w:rPr>
          <w:rFonts w:cs="Mangal"/>
          <w:b/>
          <w:sz w:val="28"/>
          <w:szCs w:val="28"/>
        </w:rPr>
      </w:pPr>
      <w:r w:rsidRPr="00AD572A">
        <w:rPr>
          <w:rFonts w:cs="Mangal"/>
          <w:b/>
          <w:iCs/>
          <w:sz w:val="28"/>
          <w:szCs w:val="28"/>
        </w:rPr>
        <w:t>The 3</w:t>
      </w:r>
      <w:r>
        <w:rPr>
          <w:rFonts w:cs="Mangal"/>
          <w:b/>
          <w:iCs/>
          <w:sz w:val="28"/>
          <w:szCs w:val="28"/>
        </w:rPr>
        <w:t>5</w:t>
      </w:r>
      <w:r w:rsidRPr="00AD572A">
        <w:rPr>
          <w:rFonts w:cs="Mangal"/>
          <w:b/>
          <w:iCs/>
          <w:sz w:val="28"/>
          <w:szCs w:val="28"/>
        </w:rPr>
        <w:t xml:space="preserve">th Meeting of </w:t>
      </w:r>
      <w:r w:rsidRPr="00AD572A">
        <w:rPr>
          <w:rFonts w:cs="Mangal"/>
          <w:b/>
          <w:sz w:val="28"/>
          <w:szCs w:val="28"/>
        </w:rPr>
        <w:t>APT Wireless Group</w:t>
      </w:r>
    </w:p>
    <w:p w14:paraId="4F0A54D1" w14:textId="6849FA58" w:rsidR="00AD572A" w:rsidRPr="00AD572A" w:rsidRDefault="00AD572A" w:rsidP="00AD572A">
      <w:pPr>
        <w:snapToGrid/>
        <w:spacing w:afterLines="0" w:after="160" w:line="276" w:lineRule="auto"/>
        <w:contextualSpacing/>
        <w:jc w:val="left"/>
        <w:rPr>
          <w:rFonts w:cs="Mangal"/>
          <w:b/>
          <w:sz w:val="28"/>
          <w:szCs w:val="28"/>
        </w:rPr>
      </w:pPr>
      <w:r>
        <w:rPr>
          <w:rFonts w:cs="Mangal"/>
          <w:b/>
          <w:sz w:val="28"/>
          <w:szCs w:val="28"/>
        </w:rPr>
        <w:t>8</w:t>
      </w:r>
      <w:r w:rsidRPr="00AD572A">
        <w:rPr>
          <w:rFonts w:cs="Mangal"/>
          <w:b/>
          <w:sz w:val="28"/>
          <w:szCs w:val="28"/>
        </w:rPr>
        <w:t xml:space="preserve"> – </w:t>
      </w:r>
      <w:r>
        <w:rPr>
          <w:rFonts w:cs="Mangal"/>
          <w:b/>
          <w:sz w:val="28"/>
          <w:szCs w:val="28"/>
        </w:rPr>
        <w:t>12</w:t>
      </w:r>
      <w:r w:rsidRPr="00AD572A">
        <w:rPr>
          <w:rFonts w:cs="Mangal"/>
          <w:b/>
          <w:sz w:val="28"/>
          <w:szCs w:val="28"/>
        </w:rPr>
        <w:t xml:space="preserve"> </w:t>
      </w:r>
      <w:r>
        <w:rPr>
          <w:rFonts w:cs="Mangal"/>
          <w:b/>
          <w:sz w:val="28"/>
          <w:szCs w:val="28"/>
        </w:rPr>
        <w:t xml:space="preserve">September </w:t>
      </w:r>
      <w:r w:rsidRPr="00AD572A">
        <w:rPr>
          <w:rFonts w:cs="Mangal"/>
          <w:b/>
          <w:sz w:val="28"/>
          <w:szCs w:val="28"/>
        </w:rPr>
        <w:t>2025</w:t>
      </w:r>
    </w:p>
    <w:p w14:paraId="5A64A6C6" w14:textId="0F192037" w:rsidR="00AD572A" w:rsidRPr="00AD572A" w:rsidRDefault="00AD572A" w:rsidP="00AD572A">
      <w:pPr>
        <w:snapToGrid/>
        <w:spacing w:afterLines="0" w:after="160" w:line="276" w:lineRule="auto"/>
        <w:contextualSpacing/>
        <w:jc w:val="left"/>
        <w:rPr>
          <w:rFonts w:cs="Mangal"/>
          <w:b/>
          <w:sz w:val="28"/>
          <w:szCs w:val="28"/>
          <w:lang w:eastAsia="ko-KR"/>
        </w:rPr>
      </w:pPr>
      <w:r>
        <w:rPr>
          <w:rFonts w:cs="Mangal"/>
          <w:b/>
          <w:sz w:val="28"/>
          <w:szCs w:val="28"/>
          <w:lang w:eastAsia="ko-KR"/>
        </w:rPr>
        <w:t>Bangkok, Thailand (Hybrid)</w:t>
      </w:r>
    </w:p>
    <w:p w14:paraId="625ED364" w14:textId="77777777" w:rsidR="00AD572A" w:rsidRPr="00AD572A" w:rsidRDefault="00AD572A" w:rsidP="00AD572A">
      <w:pPr>
        <w:snapToGrid/>
        <w:spacing w:afterLines="0" w:after="160" w:line="276" w:lineRule="auto"/>
        <w:contextualSpacing/>
        <w:jc w:val="left"/>
        <w:rPr>
          <w:rFonts w:cs="Mangal"/>
          <w:color w:val="FF0000"/>
          <w:sz w:val="28"/>
          <w:szCs w:val="28"/>
        </w:rPr>
      </w:pPr>
    </w:p>
    <w:p w14:paraId="6AE09EE2" w14:textId="394FD54E" w:rsidR="00AD572A" w:rsidRPr="00AD572A" w:rsidRDefault="00AD572A" w:rsidP="00AD572A">
      <w:pPr>
        <w:snapToGrid/>
        <w:spacing w:afterLines="0" w:after="160" w:line="276" w:lineRule="auto"/>
        <w:contextualSpacing/>
        <w:jc w:val="left"/>
        <w:rPr>
          <w:rFonts w:cs="Mangal"/>
          <w:b/>
          <w:bCs/>
          <w:i/>
          <w:iCs/>
          <w:sz w:val="28"/>
          <w:szCs w:val="28"/>
          <w:lang w:eastAsia="ko-KR"/>
        </w:rPr>
      </w:pPr>
      <w:r w:rsidRPr="00AD572A">
        <w:rPr>
          <w:rFonts w:cs="Mangal" w:hint="eastAsia"/>
          <w:b/>
          <w:bCs/>
          <w:i/>
          <w:iCs/>
          <w:sz w:val="28"/>
          <w:szCs w:val="28"/>
          <w:lang w:eastAsia="ko-KR"/>
        </w:rPr>
        <w:t>(S</w:t>
      </w:r>
      <w:r w:rsidRPr="00AD572A">
        <w:rPr>
          <w:rFonts w:cs="Mangal"/>
          <w:b/>
          <w:bCs/>
          <w:i/>
          <w:iCs/>
          <w:sz w:val="28"/>
          <w:szCs w:val="28"/>
          <w:lang w:eastAsia="ko-KR"/>
        </w:rPr>
        <w:t>ource: AWG-3</w:t>
      </w:r>
      <w:r>
        <w:rPr>
          <w:rFonts w:cs="Mangal"/>
          <w:b/>
          <w:bCs/>
          <w:i/>
          <w:iCs/>
          <w:sz w:val="28"/>
          <w:szCs w:val="28"/>
          <w:lang w:eastAsia="ko-KR"/>
        </w:rPr>
        <w:t>5</w:t>
      </w:r>
      <w:r w:rsidRPr="00AD572A">
        <w:rPr>
          <w:rFonts w:cs="Mangal"/>
          <w:b/>
          <w:bCs/>
          <w:i/>
          <w:iCs/>
          <w:sz w:val="28"/>
          <w:szCs w:val="28"/>
          <w:lang w:eastAsia="ko-KR"/>
        </w:rPr>
        <w:t>/OUT-</w:t>
      </w:r>
      <w:r>
        <w:rPr>
          <w:rFonts w:cs="Mangal"/>
          <w:b/>
          <w:bCs/>
          <w:i/>
          <w:iCs/>
          <w:sz w:val="28"/>
          <w:szCs w:val="28"/>
          <w:lang w:eastAsia="ko-KR"/>
        </w:rPr>
        <w:t>06</w:t>
      </w:r>
      <w:r w:rsidRPr="00AD572A">
        <w:rPr>
          <w:rFonts w:cs="Mangal"/>
          <w:b/>
          <w:bCs/>
          <w:i/>
          <w:iCs/>
          <w:sz w:val="28"/>
          <w:szCs w:val="28"/>
          <w:lang w:eastAsia="ko-KR"/>
        </w:rPr>
        <w:t>)</w:t>
      </w:r>
    </w:p>
    <w:p w14:paraId="58E639B8" w14:textId="77777777" w:rsidR="00AD572A" w:rsidRDefault="00AD572A" w:rsidP="00EF4B73">
      <w:pPr>
        <w:jc w:val="center"/>
      </w:pPr>
    </w:p>
    <w:p w14:paraId="449C2969" w14:textId="77777777" w:rsidR="00AD572A" w:rsidRDefault="00AD572A" w:rsidP="00EF4B73">
      <w:pPr>
        <w:jc w:val="center"/>
      </w:pPr>
    </w:p>
    <w:p w14:paraId="38382D96" w14:textId="28D7E60A" w:rsidR="00AD572A" w:rsidRDefault="00AD572A" w:rsidP="00EF4B73">
      <w:pPr>
        <w:jc w:val="center"/>
      </w:pPr>
    </w:p>
    <w:p w14:paraId="349DBFC2" w14:textId="55F930EB" w:rsidR="00AD572A" w:rsidRDefault="00AD572A" w:rsidP="00AD572A">
      <w:pPr>
        <w:tabs>
          <w:tab w:val="left" w:pos="6605"/>
        </w:tabs>
        <w:jc w:val="left"/>
      </w:pPr>
      <w:r>
        <w:tab/>
      </w:r>
    </w:p>
    <w:p w14:paraId="0B694884" w14:textId="29117DFA" w:rsidR="00AD572A" w:rsidRDefault="00AD572A" w:rsidP="00EF4B73">
      <w:pPr>
        <w:jc w:val="center"/>
      </w:pPr>
    </w:p>
    <w:p w14:paraId="7982B0A7" w14:textId="7D6D48D3" w:rsidR="00AD572A" w:rsidRDefault="00AD572A" w:rsidP="00EF4B73">
      <w:pPr>
        <w:jc w:val="center"/>
      </w:pPr>
    </w:p>
    <w:p w14:paraId="7C6289A4" w14:textId="64F881F6" w:rsidR="00AD572A" w:rsidRDefault="00AD572A" w:rsidP="00EF4B73">
      <w:pPr>
        <w:jc w:val="center"/>
      </w:pPr>
      <w:r>
        <w:rPr>
          <w:rFonts w:eastAsiaTheme="minorEastAsia" w:hint="eastAsia"/>
          <w:noProof/>
          <w:color w:val="FF0000"/>
          <w:sz w:val="28"/>
          <w:szCs w:val="28"/>
          <w:lang w:eastAsia="ko-KR"/>
        </w:rPr>
        <mc:AlternateContent>
          <mc:Choice Requires="wps">
            <w:drawing>
              <wp:anchor distT="0" distB="0" distL="114300" distR="114300" simplePos="0" relativeHeight="251661312" behindDoc="0" locked="0" layoutInCell="1" allowOverlap="1" wp14:anchorId="350BB61E" wp14:editId="64C6811B">
                <wp:simplePos x="0" y="0"/>
                <wp:positionH relativeFrom="column">
                  <wp:posOffset>4329430</wp:posOffset>
                </wp:positionH>
                <wp:positionV relativeFrom="paragraph">
                  <wp:posOffset>207010</wp:posOffset>
                </wp:positionV>
                <wp:extent cx="2234565" cy="381000"/>
                <wp:effectExtent l="0" t="0" r="0" b="0"/>
                <wp:wrapNone/>
                <wp:docPr id="538728034" name="Text Box 538728034"/>
                <wp:cNvGraphicFramePr/>
                <a:graphic xmlns:a="http://schemas.openxmlformats.org/drawingml/2006/main">
                  <a:graphicData uri="http://schemas.microsoft.com/office/word/2010/wordprocessingShape">
                    <wps:wsp>
                      <wps:cNvSpPr txBox="1"/>
                      <wps:spPr>
                        <a:xfrm>
                          <a:off x="0" y="0"/>
                          <a:ext cx="2234565" cy="381000"/>
                        </a:xfrm>
                        <a:prstGeom prst="rect">
                          <a:avLst/>
                        </a:prstGeom>
                        <a:noFill/>
                        <a:ln w="6350">
                          <a:noFill/>
                        </a:ln>
                      </wps:spPr>
                      <wps:txbx>
                        <w:txbxContent>
                          <w:p w14:paraId="001CCECF" w14:textId="0FD7698E" w:rsidR="00AD572A" w:rsidRPr="00422CF6" w:rsidRDefault="00AD572A" w:rsidP="00AD572A">
                            <w:pPr>
                              <w:rPr>
                                <w:b/>
                                <w:bCs/>
                                <w:spacing w:val="4"/>
                                <w:sz w:val="28"/>
                                <w:szCs w:val="28"/>
                              </w:rPr>
                            </w:pPr>
                            <w:r w:rsidRPr="00422CF6">
                              <w:rPr>
                                <w:b/>
                                <w:bCs/>
                                <w:spacing w:val="4"/>
                                <w:sz w:val="28"/>
                                <w:szCs w:val="28"/>
                              </w:rPr>
                              <w:t>No. APT/AWG/REP-1</w:t>
                            </w:r>
                            <w:r>
                              <w:rPr>
                                <w:b/>
                                <w:bCs/>
                                <w:spacing w:val="4"/>
                                <w:sz w:val="28"/>
                                <w:szCs w:val="28"/>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0BB61E" id="_x0000_t202" coordsize="21600,21600" o:spt="202" path="m,l,21600r21600,l21600,xe">
                <v:stroke joinstyle="miter"/>
                <v:path gradientshapeok="t" o:connecttype="rect"/>
              </v:shapetype>
              <v:shape id="Text Box 538728034" o:spid="_x0000_s1026" type="#_x0000_t202" style="position:absolute;left:0;text-align:left;margin-left:340.9pt;margin-top:16.3pt;width:175.9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dKGAIAACw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" filled="f" stroked="f" strokeweight=".5pt">
                <v:textbox>
                  <w:txbxContent>
                    <w:p w14:paraId="001CCECF" w14:textId="0FD7698E" w:rsidR="00AD572A" w:rsidRPr="00422CF6" w:rsidRDefault="00AD572A" w:rsidP="00AD572A">
                      <w:pPr>
                        <w:rPr>
                          <w:b/>
                          <w:bCs/>
                          <w:spacing w:val="4"/>
                          <w:sz w:val="28"/>
                          <w:szCs w:val="28"/>
                        </w:rPr>
                      </w:pPr>
                      <w:r w:rsidRPr="00422CF6">
                        <w:rPr>
                          <w:b/>
                          <w:bCs/>
                          <w:spacing w:val="4"/>
                          <w:sz w:val="28"/>
                          <w:szCs w:val="28"/>
                        </w:rPr>
                        <w:t>No. APT/AWG/REP-1</w:t>
                      </w:r>
                      <w:r>
                        <w:rPr>
                          <w:b/>
                          <w:bCs/>
                          <w:spacing w:val="4"/>
                          <w:sz w:val="28"/>
                          <w:szCs w:val="28"/>
                        </w:rPr>
                        <w:t>50</w:t>
                      </w:r>
                    </w:p>
                  </w:txbxContent>
                </v:textbox>
              </v:shape>
            </w:pict>
          </mc:Fallback>
        </mc:AlternateContent>
      </w:r>
    </w:p>
    <w:p w14:paraId="6D616054" w14:textId="29134167" w:rsidR="00AD572A" w:rsidRDefault="008D7E0E" w:rsidP="00AD572A">
      <w:pPr>
        <w:jc w:val="center"/>
        <w:rPr>
          <w:b/>
          <w:bCs/>
          <w:shd w:val="clear" w:color="auto" w:fill="FFFFFF"/>
        </w:rPr>
      </w:pPr>
      <w:r w:rsidRPr="00DC3BEE">
        <w:rPr>
          <w:b/>
          <w:bCs/>
          <w:shd w:val="clear" w:color="auto" w:fill="FFFFFF"/>
        </w:rPr>
        <w:lastRenderedPageBreak/>
        <w:t xml:space="preserve">APT REPORT ON </w:t>
      </w:r>
    </w:p>
    <w:p w14:paraId="1BD80E51" w14:textId="01A68C4F" w:rsidR="008D7E0E" w:rsidRDefault="008D7E0E" w:rsidP="00AD572A">
      <w:pPr>
        <w:jc w:val="center"/>
      </w:pPr>
      <w:r w:rsidRPr="00DC3BEE">
        <w:rPr>
          <w:b/>
          <w:bCs/>
          <w:shd w:val="clear" w:color="auto" w:fill="FFFFFF"/>
        </w:rPr>
        <w:t>TECHNICAL AND REGULATORY ASPECTS OF RAN</w:t>
      </w:r>
      <w:r>
        <w:rPr>
          <w:rFonts w:eastAsia="MS Mincho" w:hint="eastAsia"/>
          <w:b/>
          <w:bCs/>
          <w:shd w:val="clear" w:color="auto" w:fill="FFFFFF"/>
          <w:lang w:eastAsia="ja-JP"/>
        </w:rPr>
        <w:t xml:space="preserve"> AND </w:t>
      </w:r>
      <w:r w:rsidRPr="00DC3BEE">
        <w:rPr>
          <w:b/>
          <w:bCs/>
          <w:shd w:val="clear" w:color="auto" w:fill="FFFFFF"/>
        </w:rPr>
        <w:t xml:space="preserve">SPECTRUM SHARING IN IMT </w:t>
      </w:r>
      <w:r w:rsidRPr="00523F48">
        <w:rPr>
          <w:rFonts w:eastAsia="MS Mincho"/>
          <w:b/>
          <w:bCs/>
          <w:caps/>
          <w:shd w:val="clear" w:color="auto" w:fill="FFFFFF"/>
          <w:lang w:eastAsia="ja-JP"/>
        </w:rPr>
        <w:t xml:space="preserve">networks </w:t>
      </w:r>
      <w:r w:rsidRPr="00DC3BEE">
        <w:rPr>
          <w:b/>
          <w:bCs/>
          <w:shd w:val="clear" w:color="auto" w:fill="FFFFFF"/>
        </w:rPr>
        <w:t xml:space="preserve">AMONG MOBILE NETWORK OPERATORS </w:t>
      </w:r>
      <w:r w:rsidRPr="00DC3BEE">
        <w:rPr>
          <w:b/>
          <w:bCs/>
        </w:rPr>
        <w:t xml:space="preserve">IN </w:t>
      </w:r>
      <w:r w:rsidRPr="00523F48">
        <w:rPr>
          <w:rFonts w:eastAsia="MS Mincho"/>
          <w:b/>
          <w:bCs/>
          <w:caps/>
          <w:lang w:eastAsia="ja-JP"/>
        </w:rPr>
        <w:t xml:space="preserve">the </w:t>
      </w:r>
      <w:r w:rsidRPr="00DC3BEE">
        <w:rPr>
          <w:b/>
          <w:bCs/>
        </w:rPr>
        <w:t>ASIA PACIFIC REGION</w:t>
      </w:r>
    </w:p>
    <w:p w14:paraId="76874DD8" w14:textId="77777777" w:rsidR="008D7E0E" w:rsidRDefault="008D7E0E" w:rsidP="00630F7B"/>
    <w:p w14:paraId="198862D3" w14:textId="77777777" w:rsidR="008D7E0E" w:rsidRPr="004A23C6" w:rsidRDefault="008D7E0E" w:rsidP="00630F7B"/>
    <w:p w14:paraId="5F709271" w14:textId="77777777" w:rsidR="00F82E13" w:rsidRPr="00807EA3" w:rsidRDefault="00F82E13" w:rsidP="00630F7B">
      <w:pPr>
        <w:pStyle w:val="Heading1"/>
        <w:spacing w:after="120"/>
      </w:pPr>
      <w:r w:rsidRPr="00807EA3">
        <w:t>Introdu</w:t>
      </w:r>
      <w:r w:rsidR="001770A5">
        <w:t>c</w:t>
      </w:r>
      <w:r w:rsidRPr="00807EA3">
        <w:t>tion</w:t>
      </w:r>
    </w:p>
    <w:p w14:paraId="7CAEDE0D" w14:textId="0E6EE87E" w:rsidR="00F82E13" w:rsidRPr="002D5F34" w:rsidRDefault="00F82E13" w:rsidP="00630F7B">
      <w:r w:rsidRPr="002D5F34">
        <w:t xml:space="preserve">Infrastructure sharing in telecommunications refers to the </w:t>
      </w:r>
      <w:r w:rsidR="00021EA4" w:rsidRPr="002D5F34">
        <w:rPr>
          <w:rFonts w:eastAsia="MS Mincho" w:hint="eastAsia"/>
          <w:lang w:eastAsia="ja-JP"/>
        </w:rPr>
        <w:t xml:space="preserve">use of </w:t>
      </w:r>
      <w:r w:rsidRPr="002D5F34">
        <w:t>infrastructure or resource</w:t>
      </w:r>
      <w:r w:rsidR="00BD3EA5" w:rsidRPr="002D5F34">
        <w:rPr>
          <w:rFonts w:eastAsia="MS Mincho" w:hint="eastAsia"/>
          <w:lang w:eastAsia="ja-JP"/>
        </w:rPr>
        <w:t>s</w:t>
      </w:r>
      <w:r w:rsidRPr="002D5F34">
        <w:t xml:space="preserve"> by more than one operator through an arrangement. </w:t>
      </w:r>
      <w:r w:rsidR="00402BFC" w:rsidRPr="002D5F34">
        <w:rPr>
          <w:rFonts w:eastAsia="MS Mincho" w:hint="eastAsia"/>
          <w:lang w:eastAsia="ja-JP"/>
        </w:rPr>
        <w:t>In</w:t>
      </w:r>
      <w:r w:rsidR="00DD6431" w:rsidRPr="002D5F34">
        <w:rPr>
          <w:rFonts w:eastAsia="MS Mincho" w:hint="eastAsia"/>
          <w:lang w:eastAsia="ja-JP"/>
        </w:rPr>
        <w:t xml:space="preserve"> the </w:t>
      </w:r>
      <w:r w:rsidR="00E447A3" w:rsidRPr="002D5F34">
        <w:rPr>
          <w:rFonts w:eastAsia="MS Mincho" w:hint="eastAsia"/>
          <w:lang w:eastAsia="ja-JP"/>
        </w:rPr>
        <w:t>context</w:t>
      </w:r>
      <w:r w:rsidR="00DD6431" w:rsidRPr="002D5F34">
        <w:rPr>
          <w:rFonts w:eastAsia="MS Mincho" w:hint="eastAsia"/>
          <w:lang w:eastAsia="ja-JP"/>
        </w:rPr>
        <w:t xml:space="preserve"> of</w:t>
      </w:r>
      <w:r w:rsidR="00402BFC" w:rsidRPr="002D5F34">
        <w:rPr>
          <w:rFonts w:eastAsia="MS Mincho" w:hint="eastAsia"/>
          <w:lang w:eastAsia="ja-JP"/>
        </w:rPr>
        <w:t xml:space="preserve"> </w:t>
      </w:r>
      <w:r w:rsidR="009903E7" w:rsidRPr="002D5F34">
        <w:rPr>
          <w:rFonts w:eastAsia="MS Mincho" w:hint="eastAsia"/>
          <w:lang w:eastAsia="ja-JP"/>
        </w:rPr>
        <w:t>International Mobile Telecommunications (</w:t>
      </w:r>
      <w:r w:rsidR="00402BFC" w:rsidRPr="002D5F34">
        <w:rPr>
          <w:rFonts w:eastAsia="MS Mincho" w:hint="eastAsia"/>
          <w:lang w:eastAsia="ja-JP"/>
        </w:rPr>
        <w:t>IMT</w:t>
      </w:r>
      <w:r w:rsidR="009903E7" w:rsidRPr="002D5F34">
        <w:rPr>
          <w:rFonts w:eastAsia="MS Mincho" w:hint="eastAsia"/>
          <w:lang w:eastAsia="ja-JP"/>
        </w:rPr>
        <w:t>)</w:t>
      </w:r>
      <w:r w:rsidR="00402BFC" w:rsidRPr="002D5F34">
        <w:rPr>
          <w:rFonts w:eastAsia="MS Mincho" w:hint="eastAsia"/>
          <w:lang w:eastAsia="ja-JP"/>
        </w:rPr>
        <w:t xml:space="preserve"> </w:t>
      </w:r>
      <w:r w:rsidR="009903E7" w:rsidRPr="002D5F34">
        <w:rPr>
          <w:rFonts w:eastAsia="MS Mincho" w:hint="eastAsia"/>
          <w:lang w:eastAsia="ja-JP"/>
        </w:rPr>
        <w:t>networks, s</w:t>
      </w:r>
      <w:r w:rsidRPr="002D5F34">
        <w:t xml:space="preserve">haring decisions range from sites, towers to </w:t>
      </w:r>
      <w:r w:rsidR="00903112" w:rsidRPr="00076947">
        <w:rPr>
          <w:rFonts w:eastAsia="MS Mincho"/>
          <w:lang w:eastAsia="ja-JP"/>
        </w:rPr>
        <w:t>active network components</w:t>
      </w:r>
      <w:r w:rsidRPr="002D5F34">
        <w:t xml:space="preserve"> such as </w:t>
      </w:r>
      <w:r w:rsidR="00BC2B0F" w:rsidRPr="002D5F34">
        <w:rPr>
          <w:rFonts w:eastAsia="MS Mincho" w:hint="eastAsia"/>
          <w:lang w:eastAsia="ja-JP"/>
        </w:rPr>
        <w:t>Radio Access Network (</w:t>
      </w:r>
      <w:r w:rsidRPr="002D5F34">
        <w:t>RAN</w:t>
      </w:r>
      <w:r w:rsidR="00BC2B0F" w:rsidRPr="002D5F34">
        <w:rPr>
          <w:rFonts w:eastAsia="MS Mincho" w:hint="eastAsia"/>
          <w:lang w:eastAsia="ja-JP"/>
        </w:rPr>
        <w:t>)</w:t>
      </w:r>
      <w:r w:rsidRPr="002D5F34">
        <w:t xml:space="preserve"> and spectrum. According to the literature, there </w:t>
      </w:r>
      <w:r w:rsidR="0044024A" w:rsidRPr="002D5F34">
        <w:rPr>
          <w:rFonts w:eastAsia="MS Mincho" w:hint="eastAsia"/>
          <w:lang w:eastAsia="ja-JP"/>
        </w:rPr>
        <w:t xml:space="preserve">are several </w:t>
      </w:r>
      <w:r w:rsidR="00C7603B" w:rsidRPr="002D5F34">
        <w:rPr>
          <w:rFonts w:eastAsia="MS Mincho" w:hint="eastAsia"/>
          <w:lang w:eastAsia="ja-JP"/>
        </w:rPr>
        <w:t>approaches</w:t>
      </w:r>
      <w:r w:rsidR="0044024A" w:rsidRPr="002D5F34">
        <w:rPr>
          <w:rFonts w:eastAsia="MS Mincho" w:hint="eastAsia"/>
          <w:lang w:eastAsia="ja-JP"/>
        </w:rPr>
        <w:t xml:space="preserve"> </w:t>
      </w:r>
      <w:r w:rsidR="00361325">
        <w:rPr>
          <w:rFonts w:eastAsia="MS Mincho" w:hint="eastAsia"/>
          <w:lang w:eastAsia="ja-JP"/>
        </w:rPr>
        <w:t>to</w:t>
      </w:r>
      <w:r w:rsidR="0044024A" w:rsidRPr="002D5F34">
        <w:rPr>
          <w:rFonts w:eastAsia="MS Mincho" w:hint="eastAsia"/>
          <w:lang w:eastAsia="ja-JP"/>
        </w:rPr>
        <w:t xml:space="preserve"> </w:t>
      </w:r>
      <w:r w:rsidRPr="002D5F34">
        <w:t xml:space="preserve">infrastructure sharing, but it is </w:t>
      </w:r>
      <w:r w:rsidR="0044024A" w:rsidRPr="002D5F34">
        <w:rPr>
          <w:rFonts w:eastAsia="MS Mincho" w:hint="eastAsia"/>
          <w:lang w:eastAsia="ja-JP"/>
        </w:rPr>
        <w:t xml:space="preserve">generally </w:t>
      </w:r>
      <w:r w:rsidRPr="002D5F34">
        <w:t>considered a practical and promising solution for reducing</w:t>
      </w:r>
      <w:r w:rsidR="004B77F1" w:rsidRPr="002D5F34">
        <w:rPr>
          <w:rFonts w:eastAsia="MS Mincho" w:hint="eastAsia"/>
          <w:lang w:eastAsia="ja-JP"/>
        </w:rPr>
        <w:t xml:space="preserve"> </w:t>
      </w:r>
      <w:r w:rsidR="00E83D51" w:rsidRPr="00076947">
        <w:t>capital expenditure for deployment of mobile networks</w:t>
      </w:r>
      <w:r w:rsidRPr="002D5F34">
        <w:t xml:space="preserve">. The main advantages of infrastructure sharing are the cost benefits. </w:t>
      </w:r>
      <w:r w:rsidR="00161FA0" w:rsidRPr="002D5F34">
        <w:rPr>
          <w:rFonts w:eastAsia="MS Mincho" w:hint="eastAsia"/>
          <w:lang w:eastAsia="ja-JP"/>
        </w:rPr>
        <w:t xml:space="preserve">However, </w:t>
      </w:r>
      <w:r w:rsidRPr="002D5F34">
        <w:t xml:space="preserve">it is also driven by the </w:t>
      </w:r>
      <w:r w:rsidR="005E1B3C" w:rsidRPr="002D5F34">
        <w:rPr>
          <w:rFonts w:eastAsia="MS Mincho" w:hint="eastAsia"/>
          <w:lang w:eastAsia="ja-JP"/>
        </w:rPr>
        <w:t xml:space="preserve">need to migrate </w:t>
      </w:r>
      <w:r w:rsidRPr="002D5F34">
        <w:t xml:space="preserve">to new technologies and </w:t>
      </w:r>
      <w:r w:rsidR="00091D80" w:rsidRPr="002D5F34">
        <w:rPr>
          <w:rFonts w:eastAsia="MS Mincho" w:hint="eastAsia"/>
          <w:lang w:eastAsia="ja-JP"/>
        </w:rPr>
        <w:t xml:space="preserve">to expand </w:t>
      </w:r>
      <w:r w:rsidRPr="002D5F34">
        <w:t>mobile broadband</w:t>
      </w:r>
      <w:r w:rsidR="00C06A8E" w:rsidRPr="002D5F34">
        <w:rPr>
          <w:rFonts w:eastAsia="MS Mincho" w:hint="eastAsia"/>
          <w:lang w:eastAsia="ja-JP"/>
        </w:rPr>
        <w:t xml:space="preserve"> </w:t>
      </w:r>
      <w:r w:rsidR="00870F62" w:rsidRPr="002D5F34">
        <w:rPr>
          <w:rFonts w:eastAsia="MS Mincho" w:hint="eastAsia"/>
          <w:lang w:eastAsia="ja-JP"/>
        </w:rPr>
        <w:t>cover</w:t>
      </w:r>
      <w:r w:rsidR="004956F9" w:rsidRPr="002D5F34">
        <w:rPr>
          <w:rFonts w:eastAsia="MS Mincho" w:hint="eastAsia"/>
          <w:lang w:eastAsia="ja-JP"/>
        </w:rPr>
        <w:t>a</w:t>
      </w:r>
      <w:r w:rsidR="00870F62" w:rsidRPr="002D5F34">
        <w:rPr>
          <w:rFonts w:eastAsia="MS Mincho" w:hint="eastAsia"/>
          <w:lang w:eastAsia="ja-JP"/>
        </w:rPr>
        <w:t>ge</w:t>
      </w:r>
      <w:r w:rsidRPr="002D5F34">
        <w:t>.</w:t>
      </w:r>
    </w:p>
    <w:p w14:paraId="5B89933B" w14:textId="4A81E09D" w:rsidR="00E745CC" w:rsidRPr="00523F48" w:rsidRDefault="00F82E13" w:rsidP="00A96707">
      <w:pPr>
        <w:rPr>
          <w:rFonts w:eastAsia="MS Mincho"/>
          <w:lang w:eastAsia="ja-JP"/>
        </w:rPr>
      </w:pPr>
      <w:r w:rsidRPr="002D5F34">
        <w:t xml:space="preserve">According to the results of </w:t>
      </w:r>
      <w:r w:rsidR="004B3270" w:rsidRPr="002D5F34">
        <w:rPr>
          <w:rFonts w:eastAsia="MS Mincho" w:hint="eastAsia"/>
          <w:lang w:eastAsia="ja-JP"/>
        </w:rPr>
        <w:t xml:space="preserve"> </w:t>
      </w:r>
      <w:r w:rsidR="004B3270" w:rsidRPr="00076947">
        <w:rPr>
          <w:rFonts w:eastAsia="MS Mincho"/>
          <w:lang w:eastAsia="ja-JP"/>
        </w:rPr>
        <w:t>a global</w:t>
      </w:r>
      <w:r w:rsidRPr="002D5F34">
        <w:t xml:space="preserve"> survey </w:t>
      </w:r>
      <w:r w:rsidR="008B7865" w:rsidRPr="00076947">
        <w:t>conducted by the ITU</w:t>
      </w:r>
      <w:r w:rsidR="008B7865" w:rsidRPr="002D5F34">
        <w:t xml:space="preserve"> </w:t>
      </w:r>
      <w:r w:rsidRPr="002D5F34">
        <w:t xml:space="preserve">about infrastructure sharing, most countries </w:t>
      </w:r>
      <w:r w:rsidR="00091D80" w:rsidRPr="002D5F34">
        <w:rPr>
          <w:rFonts w:eastAsia="MS Mincho" w:hint="eastAsia"/>
          <w:lang w:eastAsia="ja-JP"/>
        </w:rPr>
        <w:t xml:space="preserve">have found </w:t>
      </w:r>
      <w:r w:rsidRPr="002D5F34">
        <w:t xml:space="preserve">that infrastructure sharing has </w:t>
      </w:r>
      <w:r w:rsidRPr="00076947">
        <w:t xml:space="preserve">a </w:t>
      </w:r>
      <w:r w:rsidR="008B7865" w:rsidRPr="00076947">
        <w:rPr>
          <w:rFonts w:eastAsia="MS Mincho"/>
          <w:lang w:eastAsia="ja-JP"/>
        </w:rPr>
        <w:t>positive</w:t>
      </w:r>
      <w:r w:rsidR="008B7865" w:rsidRPr="002D5F34">
        <w:rPr>
          <w:rFonts w:eastAsia="MS Mincho" w:hint="eastAsia"/>
          <w:lang w:eastAsia="ja-JP"/>
        </w:rPr>
        <w:t xml:space="preserve"> </w:t>
      </w:r>
      <w:r w:rsidRPr="002D5F34">
        <w:t>impact on the price</w:t>
      </w:r>
      <w:r w:rsidR="0092770A" w:rsidRPr="002D5F34">
        <w:rPr>
          <w:rFonts w:eastAsia="MS Mincho" w:hint="eastAsia"/>
          <w:lang w:eastAsia="ja-JP"/>
        </w:rPr>
        <w:t xml:space="preserve"> of </w:t>
      </w:r>
      <w:r w:rsidR="0092770A" w:rsidRPr="00076947">
        <w:rPr>
          <w:rFonts w:eastAsia="MS Mincho"/>
          <w:lang w:eastAsia="ja-JP"/>
        </w:rPr>
        <w:t>services</w:t>
      </w:r>
      <w:r w:rsidRPr="002D5F34">
        <w:t xml:space="preserve"> </w:t>
      </w:r>
      <w:r w:rsidR="003C066C" w:rsidRPr="002D5F34">
        <w:rPr>
          <w:rFonts w:eastAsia="MS Mincho" w:hint="eastAsia"/>
          <w:lang w:eastAsia="ja-JP"/>
        </w:rPr>
        <w:t xml:space="preserve">for </w:t>
      </w:r>
      <w:r w:rsidRPr="002D5F34">
        <w:t>end-users</w:t>
      </w:r>
      <w:r w:rsidR="00D869CE" w:rsidRPr="002D5F34">
        <w:rPr>
          <w:rFonts w:eastAsia="MS Mincho" w:hint="eastAsia"/>
          <w:lang w:eastAsia="ja-JP"/>
        </w:rPr>
        <w:t>.</w:t>
      </w:r>
    </w:p>
    <w:p w14:paraId="47E217AC" w14:textId="77777777" w:rsidR="00F82E13" w:rsidRDefault="00F82E13" w:rsidP="00630F7B">
      <w:r>
        <w:rPr>
          <w:noProof/>
          <w:lang w:val="en-GB" w:eastAsia="en-GB"/>
        </w:rPr>
        <w:drawing>
          <wp:inline distT="0" distB="0" distL="0" distR="0" wp14:anchorId="50325B24" wp14:editId="36DF5410">
            <wp:extent cx="5824855" cy="4309745"/>
            <wp:effectExtent l="0" t="0" r="4445" b="0"/>
            <wp:docPr id="193829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94104" name="Picture 1938294104"/>
                    <pic:cNvPicPr/>
                  </pic:nvPicPr>
                  <pic:blipFill>
                    <a:blip r:embed="rId14">
                      <a:extLst>
                        <a:ext uri="{28A0092B-C50C-407E-A947-70E740481C1C}">
                          <a14:useLocalDpi xmlns:a14="http://schemas.microsoft.com/office/drawing/2010/main" val="0"/>
                        </a:ext>
                      </a:extLst>
                    </a:blip>
                    <a:stretch>
                      <a:fillRect/>
                    </a:stretch>
                  </pic:blipFill>
                  <pic:spPr>
                    <a:xfrm>
                      <a:off x="0" y="0"/>
                      <a:ext cx="5824855" cy="4309745"/>
                    </a:xfrm>
                    <a:prstGeom prst="rect">
                      <a:avLst/>
                    </a:prstGeom>
                  </pic:spPr>
                </pic:pic>
              </a:graphicData>
            </a:graphic>
          </wp:inline>
        </w:drawing>
      </w:r>
    </w:p>
    <w:p w14:paraId="47B30823" w14:textId="4371D240" w:rsidR="00F82E13" w:rsidRPr="0096687D" w:rsidRDefault="00F82E13" w:rsidP="00630F7B">
      <w:r w:rsidRPr="0080357F">
        <w:t xml:space="preserve">Infrastructure sharing models are </w:t>
      </w:r>
      <w:r w:rsidR="0080767A" w:rsidRPr="0080357F">
        <w:rPr>
          <w:rFonts w:eastAsia="MS Mincho" w:hint="eastAsia"/>
          <w:lang w:eastAsia="ja-JP"/>
        </w:rPr>
        <w:t xml:space="preserve">generally </w:t>
      </w:r>
      <w:r w:rsidRPr="0080357F">
        <w:t>divided into two broad categories: active and passive sharing. Passive infrastructure sharing means sharing of physical sites,</w:t>
      </w:r>
      <w:r w:rsidR="001E6B4E" w:rsidRPr="00F13D05">
        <w:t xml:space="preserve"> </w:t>
      </w:r>
      <w:bookmarkStart w:id="0" w:name="_Hlk207279451"/>
      <w:r w:rsidR="001E6B4E" w:rsidRPr="00F13D05">
        <w:t>cable tray</w:t>
      </w:r>
      <w:r w:rsidR="004141E8" w:rsidRPr="00F13D05">
        <w:rPr>
          <w:rFonts w:eastAsia="MS Mincho"/>
          <w:lang w:eastAsia="ja-JP"/>
        </w:rPr>
        <w:t>s</w:t>
      </w:r>
      <w:r w:rsidR="001E6B4E" w:rsidRPr="00F13D05">
        <w:t xml:space="preserve">, </w:t>
      </w:r>
      <w:proofErr w:type="spellStart"/>
      <w:r w:rsidR="001E6B4E" w:rsidRPr="00F13D05">
        <w:t>ducting</w:t>
      </w:r>
      <w:r w:rsidR="004141E8" w:rsidRPr="00F13D05">
        <w:rPr>
          <w:rFonts w:eastAsia="MS Mincho"/>
          <w:lang w:eastAsia="ja-JP"/>
        </w:rPr>
        <w:t>s</w:t>
      </w:r>
      <w:proofErr w:type="spellEnd"/>
      <w:r w:rsidR="001E6B4E" w:rsidRPr="00F13D05">
        <w:t>, manhole</w:t>
      </w:r>
      <w:r w:rsidR="007B6EC7" w:rsidRPr="00F13D05">
        <w:rPr>
          <w:rFonts w:eastAsia="MS Mincho"/>
          <w:lang w:eastAsia="ja-JP"/>
        </w:rPr>
        <w:t>s</w:t>
      </w:r>
      <w:r w:rsidR="001E6B4E" w:rsidRPr="00F13D05">
        <w:t xml:space="preserve"> and handhole</w:t>
      </w:r>
      <w:r w:rsidR="007B6EC7" w:rsidRPr="00F13D05">
        <w:rPr>
          <w:rFonts w:eastAsia="MS Mincho"/>
          <w:lang w:eastAsia="ja-JP"/>
        </w:rPr>
        <w:t>s</w:t>
      </w:r>
      <w:r w:rsidR="001E6B4E" w:rsidRPr="00F13D05">
        <w:t>, dark fiber</w:t>
      </w:r>
      <w:r w:rsidR="007B6EC7" w:rsidRPr="00F13D05">
        <w:rPr>
          <w:rFonts w:eastAsia="MS Mincho"/>
          <w:lang w:eastAsia="ja-JP"/>
        </w:rPr>
        <w:t>s</w:t>
      </w:r>
      <w:r w:rsidR="001E6B4E" w:rsidRPr="00F13D05">
        <w:t>,</w:t>
      </w:r>
      <w:r w:rsidR="001E6B4E" w:rsidRPr="0080357F">
        <w:t xml:space="preserve"> </w:t>
      </w:r>
      <w:bookmarkEnd w:id="0"/>
      <w:r w:rsidRPr="0080357F">
        <w:t>buildings, shelters, towers/masts, power suppl</w:t>
      </w:r>
      <w:r w:rsidR="00014675" w:rsidRPr="0080357F">
        <w:rPr>
          <w:rFonts w:eastAsia="MS Mincho" w:hint="eastAsia"/>
          <w:lang w:eastAsia="ja-JP"/>
        </w:rPr>
        <w:t>ies</w:t>
      </w:r>
      <w:r w:rsidRPr="0080357F">
        <w:t xml:space="preserve"> and battery backup</w:t>
      </w:r>
      <w:r w:rsidR="00014675" w:rsidRPr="0080357F">
        <w:rPr>
          <w:rFonts w:eastAsia="MS Mincho" w:hint="eastAsia"/>
          <w:lang w:eastAsia="ja-JP"/>
        </w:rPr>
        <w:t>s</w:t>
      </w:r>
      <w:r w:rsidRPr="0080357F">
        <w:t xml:space="preserve">, etc. Active infrastructure sharing involves sharing active electronic network </w:t>
      </w:r>
      <w:r w:rsidRPr="0080357F">
        <w:lastRenderedPageBreak/>
        <w:t>elements</w:t>
      </w:r>
      <w:r w:rsidR="00EB5136" w:rsidRPr="0080357F">
        <w:rPr>
          <w:rFonts w:eastAsia="MS Mincho" w:hint="eastAsia"/>
          <w:lang w:eastAsia="ja-JP"/>
        </w:rPr>
        <w:t xml:space="preserve"> such as</w:t>
      </w:r>
      <w:r w:rsidRPr="0080357F">
        <w:t xml:space="preserve"> base stations</w:t>
      </w:r>
      <w:r w:rsidR="007D378E" w:rsidRPr="0080357F">
        <w:rPr>
          <w:rFonts w:eastAsia="MS Mincho" w:hint="eastAsia"/>
          <w:lang w:eastAsia="ja-JP"/>
        </w:rPr>
        <w:t>,</w:t>
      </w:r>
      <w:r w:rsidRPr="0080357F">
        <w:t xml:space="preserve"> other equipment for mobile networks</w:t>
      </w:r>
      <w:r w:rsidR="007D378E" w:rsidRPr="0080357F">
        <w:rPr>
          <w:rFonts w:eastAsia="MS Mincho" w:hint="eastAsia"/>
          <w:lang w:eastAsia="ja-JP"/>
        </w:rPr>
        <w:t>,</w:t>
      </w:r>
      <w:r w:rsidRPr="0080357F">
        <w:t xml:space="preserve"> access node switches and management systems for </w:t>
      </w:r>
      <w:r w:rsidR="0080357F" w:rsidRPr="0080357F">
        <w:t>fiber</w:t>
      </w:r>
      <w:r w:rsidRPr="0080357F">
        <w:t xml:space="preserve"> networks.</w:t>
      </w:r>
    </w:p>
    <w:p w14:paraId="082F1F91" w14:textId="5B3CA2EC" w:rsidR="00CD65D7" w:rsidRPr="00CD65D7" w:rsidRDefault="00F82E13" w:rsidP="00630F7B">
      <w:pPr>
        <w:rPr>
          <w:rFonts w:eastAsia="MS Mincho"/>
          <w:lang w:eastAsia="ja-JP"/>
        </w:rPr>
      </w:pPr>
      <w:r w:rsidRPr="002D4EF2">
        <w:t xml:space="preserve">Spectrum sharing is </w:t>
      </w:r>
      <w:r w:rsidR="00EB5F66">
        <w:rPr>
          <w:rFonts w:eastAsia="MS Mincho" w:hint="eastAsia"/>
          <w:lang w:eastAsia="ja-JP"/>
        </w:rPr>
        <w:t>an</w:t>
      </w:r>
      <w:r w:rsidR="009E628F">
        <w:rPr>
          <w:rFonts w:eastAsia="MS Mincho" w:hint="eastAsia"/>
          <w:lang w:eastAsia="ja-JP"/>
        </w:rPr>
        <w:t>other</w:t>
      </w:r>
      <w:r w:rsidR="00EB5F66">
        <w:rPr>
          <w:rFonts w:eastAsia="MS Mincho" w:hint="eastAsia"/>
          <w:lang w:eastAsia="ja-JP"/>
        </w:rPr>
        <w:t xml:space="preserve"> </w:t>
      </w:r>
      <w:r w:rsidRPr="002D4EF2">
        <w:t>importan</w:t>
      </w:r>
      <w:r w:rsidR="00C23936">
        <w:rPr>
          <w:rFonts w:eastAsia="MS Mincho" w:hint="eastAsia"/>
          <w:lang w:eastAsia="ja-JP"/>
        </w:rPr>
        <w:t>t</w:t>
      </w:r>
      <w:r w:rsidRPr="00630F7B">
        <w:t xml:space="preserve"> </w:t>
      </w:r>
      <w:r w:rsidR="00EB5F66">
        <w:rPr>
          <w:rFonts w:eastAsia="MS Mincho" w:hint="eastAsia"/>
          <w:lang w:eastAsia="ja-JP"/>
        </w:rPr>
        <w:t xml:space="preserve">aspect </w:t>
      </w:r>
      <w:r w:rsidRPr="00630F7B">
        <w:t xml:space="preserve">to ensure </w:t>
      </w:r>
      <w:r w:rsidR="003F0805">
        <w:rPr>
          <w:rFonts w:eastAsia="MS Mincho" w:hint="eastAsia"/>
          <w:lang w:eastAsia="ja-JP"/>
        </w:rPr>
        <w:t xml:space="preserve">efficient </w:t>
      </w:r>
      <w:r w:rsidRPr="00630F7B">
        <w:t>utilization of the available spectrum. The basic objective of s</w:t>
      </w:r>
      <w:r w:rsidRPr="00DD0B70">
        <w:t>pectrum sharing is to enhance spectral efficiency by combining/pooling the spectrum holding</w:t>
      </w:r>
      <w:r w:rsidR="00C23936" w:rsidRPr="00DD0B70">
        <w:rPr>
          <w:rFonts w:eastAsia="MS Mincho" w:hint="eastAsia"/>
          <w:lang w:eastAsia="ja-JP"/>
        </w:rPr>
        <w:t>s</w:t>
      </w:r>
      <w:r w:rsidRPr="00DD0B70">
        <w:t xml:space="preserve"> of </w:t>
      </w:r>
      <w:r w:rsidR="003022A9" w:rsidRPr="00F13D05">
        <w:rPr>
          <w:rFonts w:eastAsia="MS Mincho"/>
          <w:lang w:eastAsia="ja-JP"/>
        </w:rPr>
        <w:t>multiple</w:t>
      </w:r>
      <w:r w:rsidR="00CD65D7" w:rsidRPr="00DD0B70">
        <w:rPr>
          <w:rFonts w:eastAsia="MS Mincho" w:hint="eastAsia"/>
          <w:lang w:eastAsia="ja-JP"/>
        </w:rPr>
        <w:t xml:space="preserve"> </w:t>
      </w:r>
      <w:r w:rsidRPr="00DD0B70">
        <w:t>license</w:t>
      </w:r>
      <w:r w:rsidRPr="00630F7B">
        <w:t xml:space="preserve">es. </w:t>
      </w:r>
    </w:p>
    <w:p w14:paraId="3A4BFAB6" w14:textId="6A11C3AA" w:rsidR="00F82E13" w:rsidRPr="00F13D05" w:rsidRDefault="003D7D27" w:rsidP="00630F7B">
      <w:pPr>
        <w:rPr>
          <w:rFonts w:eastAsia="MS Mincho"/>
          <w:lang w:eastAsia="ja-JP"/>
        </w:rPr>
      </w:pPr>
      <w:r w:rsidRPr="00C050D0">
        <w:t xml:space="preserve">The non-linear gain in spectral efficiency with the quantum of spectrum </w:t>
      </w:r>
      <w:r w:rsidR="00364D3A" w:rsidRPr="00C050D0">
        <w:rPr>
          <w:rFonts w:eastAsia="MS Mincho" w:hint="eastAsia"/>
          <w:lang w:eastAsia="ja-JP"/>
        </w:rPr>
        <w:t xml:space="preserve">could </w:t>
      </w:r>
      <w:r w:rsidRPr="00C050D0">
        <w:t>allow for greater network capacity and improved service quality.</w:t>
      </w:r>
    </w:p>
    <w:p w14:paraId="0FDDE359" w14:textId="7854C949" w:rsidR="00F82E13" w:rsidRDefault="00F82E13" w:rsidP="00630F7B">
      <w:r w:rsidRPr="00630F7B">
        <w:t>Infrastructure sharing, however, may also lead to reduced competition</w:t>
      </w:r>
      <w:r w:rsidR="00BA373E">
        <w:rPr>
          <w:rFonts w:eastAsia="MS Mincho" w:hint="eastAsia"/>
          <w:lang w:eastAsia="ja-JP"/>
        </w:rPr>
        <w:t>,</w:t>
      </w:r>
      <w:r w:rsidRPr="00630F7B">
        <w:t xml:space="preserve"> and therefore appropriate country-specific policies need to be devised</w:t>
      </w:r>
      <w:r w:rsidR="005B45C0">
        <w:rPr>
          <w:rFonts w:eastAsia="MS Mincho" w:hint="eastAsia"/>
          <w:lang w:eastAsia="ja-JP"/>
        </w:rPr>
        <w:t xml:space="preserve"> based on </w:t>
      </w:r>
      <w:r w:rsidR="00C824FC">
        <w:rPr>
          <w:rFonts w:eastAsia="MS Mincho"/>
          <w:lang w:eastAsia="ja-JP"/>
        </w:rPr>
        <w:t>national</w:t>
      </w:r>
      <w:r w:rsidR="005B45C0">
        <w:rPr>
          <w:rFonts w:eastAsia="MS Mincho" w:hint="eastAsia"/>
          <w:lang w:eastAsia="ja-JP"/>
        </w:rPr>
        <w:t xml:space="preserve"> interest</w:t>
      </w:r>
      <w:r w:rsidRPr="00630F7B">
        <w:t>.</w:t>
      </w:r>
      <w:r>
        <w:t xml:space="preserve"> </w:t>
      </w:r>
      <w:r w:rsidRPr="0096687D">
        <w:t xml:space="preserve">Depending on the market, policies and regulations should encourage and facilitate the highest </w:t>
      </w:r>
      <w:r w:rsidR="00057B91">
        <w:rPr>
          <w:rFonts w:eastAsia="MS Mincho" w:hint="eastAsia"/>
          <w:lang w:eastAsia="ja-JP"/>
        </w:rPr>
        <w:t xml:space="preserve">possible </w:t>
      </w:r>
      <w:r w:rsidRPr="0096687D">
        <w:t>level of infrastructure sharing.</w:t>
      </w:r>
      <w:r w:rsidRPr="00244C4F">
        <w:t xml:space="preserve"> </w:t>
      </w:r>
      <w:r w:rsidRPr="002E6222">
        <w:t>Governments and regulators</w:t>
      </w:r>
      <w:r>
        <w:t xml:space="preserve"> </w:t>
      </w:r>
      <w:r w:rsidR="000E11D2">
        <w:rPr>
          <w:rFonts w:eastAsia="MS Mincho" w:hint="eastAsia"/>
          <w:lang w:eastAsia="ja-JP"/>
        </w:rPr>
        <w:t xml:space="preserve">should </w:t>
      </w:r>
      <w:r w:rsidRPr="002E6222">
        <w:t xml:space="preserve">be proactive in </w:t>
      </w:r>
      <w:r>
        <w:t>establishing</w:t>
      </w:r>
      <w:r w:rsidRPr="002E6222">
        <w:t xml:space="preserve"> enabling</w:t>
      </w:r>
      <w:r>
        <w:t xml:space="preserve"> </w:t>
      </w:r>
      <w:r w:rsidRPr="002E6222">
        <w:t>frameworks for infrastructure sharing to</w:t>
      </w:r>
      <w:r>
        <w:t xml:space="preserve"> </w:t>
      </w:r>
      <w:r w:rsidRPr="002E6222">
        <w:t>boost the growth of the telecom</w:t>
      </w:r>
      <w:r w:rsidR="00B51150">
        <w:rPr>
          <w:rFonts w:eastAsia="MS Mincho" w:hint="eastAsia"/>
          <w:lang w:eastAsia="ja-JP"/>
        </w:rPr>
        <w:t>munications</w:t>
      </w:r>
      <w:r w:rsidRPr="002E6222">
        <w:t xml:space="preserve"> sector</w:t>
      </w:r>
      <w:r w:rsidRPr="0096687D">
        <w:t>.</w:t>
      </w:r>
    </w:p>
    <w:p w14:paraId="4E678EE5" w14:textId="77777777" w:rsidR="00FD15D7" w:rsidRPr="00FD15D7" w:rsidRDefault="00F82E13" w:rsidP="00753E5C">
      <w:pPr>
        <w:pStyle w:val="Heading1"/>
        <w:spacing w:after="120"/>
      </w:pPr>
      <w:r>
        <w:t>Scope</w:t>
      </w:r>
    </w:p>
    <w:p w14:paraId="75E1BE8E" w14:textId="4E5C2FD7" w:rsidR="00F82E13" w:rsidRDefault="00323E75" w:rsidP="00753E5C">
      <w:pPr>
        <w:rPr>
          <w:rFonts w:eastAsia="Malgun Gothic"/>
        </w:rPr>
      </w:pPr>
      <w:r>
        <w:rPr>
          <w:rFonts w:eastAsia="Malgun Gothic"/>
        </w:rPr>
        <w:t>The purpose of t</w:t>
      </w:r>
      <w:r w:rsidR="00F82E13" w:rsidRPr="001D1503">
        <w:rPr>
          <w:rFonts w:eastAsia="Malgun Gothic"/>
        </w:rPr>
        <w:t xml:space="preserve">his </w:t>
      </w:r>
      <w:r w:rsidR="00F82E13">
        <w:rPr>
          <w:rFonts w:eastAsia="Malgun Gothic"/>
        </w:rPr>
        <w:t>report</w:t>
      </w:r>
      <w:r w:rsidR="00F82E13" w:rsidRPr="001D1503">
        <w:rPr>
          <w:rFonts w:eastAsia="Malgun Gothic"/>
        </w:rPr>
        <w:t xml:space="preserve"> is </w:t>
      </w:r>
      <w:r>
        <w:rPr>
          <w:rFonts w:eastAsia="Malgun Gothic"/>
        </w:rPr>
        <w:t xml:space="preserve">to provide </w:t>
      </w:r>
      <w:r>
        <w:rPr>
          <w:rFonts w:eastAsia="SimSun"/>
          <w:lang w:eastAsia="zh-CN"/>
        </w:rPr>
        <w:t>t</w:t>
      </w:r>
      <w:r w:rsidRPr="00781759">
        <w:t>echnical and regulatory</w:t>
      </w:r>
      <w:r>
        <w:t xml:space="preserve"> consideration of</w:t>
      </w:r>
      <w:r w:rsidR="001524A8">
        <w:rPr>
          <w:rFonts w:ascii="MS Mincho" w:eastAsia="MS Mincho" w:hAnsi="MS Mincho" w:hint="eastAsia"/>
          <w:lang w:eastAsia="ja-JP"/>
        </w:rPr>
        <w:t xml:space="preserve"> </w:t>
      </w:r>
      <w:r w:rsidR="00F82E13">
        <w:t>RAN</w:t>
      </w:r>
      <w:r w:rsidR="00567DA0">
        <w:rPr>
          <w:rFonts w:eastAsia="MS Mincho" w:hint="eastAsia"/>
          <w:lang w:eastAsia="ja-JP"/>
        </w:rPr>
        <w:t xml:space="preserve"> and </w:t>
      </w:r>
      <w:r w:rsidR="00F82E13">
        <w:t xml:space="preserve">spectrum sharing in IMT </w:t>
      </w:r>
      <w:r w:rsidR="006B4A5D">
        <w:rPr>
          <w:rFonts w:eastAsia="MS Mincho" w:hint="eastAsia"/>
          <w:lang w:eastAsia="ja-JP"/>
        </w:rPr>
        <w:t xml:space="preserve">networks </w:t>
      </w:r>
      <w:r w:rsidR="00F82E13">
        <w:t>among M</w:t>
      </w:r>
      <w:r w:rsidR="00F82E13" w:rsidRPr="00781759">
        <w:t xml:space="preserve">obile </w:t>
      </w:r>
      <w:r w:rsidR="00F82E13">
        <w:t>N</w:t>
      </w:r>
      <w:r w:rsidR="00F82E13" w:rsidRPr="00781759">
        <w:t xml:space="preserve">etwork </w:t>
      </w:r>
      <w:r w:rsidR="00F82E13">
        <w:t xml:space="preserve">Operators </w:t>
      </w:r>
      <w:r w:rsidR="00995625">
        <w:rPr>
          <w:rFonts w:eastAsia="MS Mincho" w:hint="eastAsia"/>
          <w:lang w:eastAsia="ja-JP"/>
        </w:rPr>
        <w:t xml:space="preserve">(MNOs) </w:t>
      </w:r>
      <w:r w:rsidR="00F82E13" w:rsidRPr="00781759">
        <w:t xml:space="preserve">in </w:t>
      </w:r>
      <w:r w:rsidR="00B51150">
        <w:rPr>
          <w:rFonts w:eastAsia="MS Mincho" w:hint="eastAsia"/>
          <w:lang w:eastAsia="ja-JP"/>
        </w:rPr>
        <w:t xml:space="preserve">the </w:t>
      </w:r>
      <w:r w:rsidR="00F82E13" w:rsidRPr="00781759">
        <w:t>Asia Pacific region</w:t>
      </w:r>
      <w:r w:rsidR="00F82E13">
        <w:t>.</w:t>
      </w:r>
      <w:r w:rsidR="00F82E13" w:rsidRPr="001D1503">
        <w:rPr>
          <w:rFonts w:eastAsia="Malgun Gothic"/>
        </w:rPr>
        <w:t xml:space="preserve"> </w:t>
      </w:r>
    </w:p>
    <w:p w14:paraId="705845D8" w14:textId="339D18FE" w:rsidR="00B63D3F" w:rsidRDefault="00B63D3F" w:rsidP="00DF1BC5">
      <w:pPr>
        <w:pStyle w:val="Heading1"/>
        <w:spacing w:after="120"/>
      </w:pPr>
      <w:r>
        <w:rPr>
          <w:rFonts w:eastAsia="MS Mincho" w:hint="eastAsia"/>
          <w:lang w:eastAsia="ja-JP"/>
        </w:rPr>
        <w:t>G</w:t>
      </w:r>
      <w:r>
        <w:rPr>
          <w:rFonts w:eastAsia="MS Mincho"/>
          <w:lang w:eastAsia="ja-JP"/>
        </w:rPr>
        <w:t>lobal trend of RAN</w:t>
      </w:r>
      <w:r w:rsidR="00C21073">
        <w:rPr>
          <w:rFonts w:eastAsia="MS Mincho" w:hint="eastAsia"/>
          <w:lang w:eastAsia="ja-JP"/>
        </w:rPr>
        <w:t xml:space="preserve"> and </w:t>
      </w:r>
      <w:r>
        <w:rPr>
          <w:rFonts w:eastAsia="MS Mincho"/>
          <w:lang w:eastAsia="ja-JP"/>
        </w:rPr>
        <w:t>spectrum sharing</w:t>
      </w:r>
    </w:p>
    <w:p w14:paraId="057C5DD8" w14:textId="0C004E81" w:rsidR="00B63D3F" w:rsidRPr="00DF1BC5" w:rsidRDefault="00B63D3F" w:rsidP="00B63D3F">
      <w:r w:rsidRPr="00DF1BC5">
        <w:t xml:space="preserve">Network and spectrum sharing arrangements are generally voluntary in nature and increasingly common. </w:t>
      </w:r>
      <w:r w:rsidRPr="00DF1BC5">
        <w:rPr>
          <w:lang w:val="en-GB" w:eastAsia="ko-KR"/>
        </w:rPr>
        <w:t>Several</w:t>
      </w:r>
      <w:r w:rsidRPr="00DF1BC5">
        <w:t xml:space="preserve"> well-known mobile industry trends have driven a steady rise in the development of network sharing </w:t>
      </w:r>
      <w:r w:rsidR="00DC4CC9">
        <w:rPr>
          <w:rFonts w:eastAsia="MS Mincho" w:hint="eastAsia"/>
          <w:lang w:eastAsia="ja-JP"/>
        </w:rPr>
        <w:t xml:space="preserve">agreements </w:t>
      </w:r>
      <w:r w:rsidRPr="00DF1BC5">
        <w:t xml:space="preserve">among </w:t>
      </w:r>
      <w:r w:rsidR="0047105C">
        <w:rPr>
          <w:rFonts w:eastAsia="MS Mincho" w:hint="eastAsia"/>
          <w:lang w:eastAsia="ja-JP"/>
        </w:rPr>
        <w:t xml:space="preserve">MNOs </w:t>
      </w:r>
      <w:r w:rsidRPr="00DF1BC5">
        <w:t xml:space="preserve">over the past 20 years. These include the </w:t>
      </w:r>
      <w:r w:rsidR="00FD52DA">
        <w:rPr>
          <w:rFonts w:eastAsia="MS Mincho" w:hint="eastAsia"/>
          <w:lang w:eastAsia="ja-JP"/>
        </w:rPr>
        <w:t xml:space="preserve">growing </w:t>
      </w:r>
      <w:r w:rsidRPr="00DF1BC5">
        <w:t xml:space="preserve">importance </w:t>
      </w:r>
      <w:r w:rsidR="007F6A2A">
        <w:rPr>
          <w:rFonts w:eastAsia="MS Mincho" w:hint="eastAsia"/>
          <w:lang w:eastAsia="ja-JP"/>
        </w:rPr>
        <w:t xml:space="preserve">and adoption </w:t>
      </w:r>
      <w:r w:rsidRPr="00DF1BC5">
        <w:t>of mobile broadband coverage, the increasing costs of network deployment, and the focus on sustainability and creation of green</w:t>
      </w:r>
      <w:r w:rsidR="004E00E2">
        <w:rPr>
          <w:rFonts w:eastAsia="MS Mincho" w:hint="eastAsia"/>
          <w:lang w:eastAsia="ja-JP"/>
        </w:rPr>
        <w:t xml:space="preserve"> and</w:t>
      </w:r>
      <w:r w:rsidRPr="00DF1BC5">
        <w:t xml:space="preserve"> energy-efficient networks.</w:t>
      </w:r>
    </w:p>
    <w:p w14:paraId="0F28CA04" w14:textId="77777777" w:rsidR="00B63D3F" w:rsidRPr="00DF1BC5" w:rsidRDefault="00B63D3F" w:rsidP="00B63D3F">
      <w:pPr>
        <w:pStyle w:val="Default"/>
        <w:snapToGrid w:val="0"/>
        <w:spacing w:afterLines="50" w:after="120" w:line="276" w:lineRule="auto"/>
        <w:ind w:leftChars="200" w:left="480"/>
        <w:jc w:val="center"/>
      </w:pPr>
      <w:r w:rsidRPr="00DF1BC5">
        <w:rPr>
          <w:noProof/>
        </w:rPr>
        <w:drawing>
          <wp:inline distT="0" distB="0" distL="0" distR="0" wp14:anchorId="33DB9E93" wp14:editId="0B5F4167">
            <wp:extent cx="3635313" cy="2424223"/>
            <wp:effectExtent l="0" t="0" r="3810" b="0"/>
            <wp:docPr id="6" name="図 6" descr="A graph of a graph showing the number of sa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20545" name="Picture 1" descr="A graph of a graph showing the number of sales&#10;&#10;Description automatically generated with medium confidence"/>
                    <pic:cNvPicPr/>
                  </pic:nvPicPr>
                  <pic:blipFill rotWithShape="1">
                    <a:blip r:embed="rId15"/>
                    <a:srcRect t="17624"/>
                    <a:stretch/>
                  </pic:blipFill>
                  <pic:spPr bwMode="auto">
                    <a:xfrm>
                      <a:off x="0" y="0"/>
                      <a:ext cx="3647075" cy="2432066"/>
                    </a:xfrm>
                    <a:prstGeom prst="rect">
                      <a:avLst/>
                    </a:prstGeom>
                    <a:ln>
                      <a:noFill/>
                    </a:ln>
                    <a:extLst>
                      <a:ext uri="{53640926-AAD7-44D8-BBD7-CCE9431645EC}">
                        <a14:shadowObscured xmlns:a14="http://schemas.microsoft.com/office/drawing/2010/main"/>
                      </a:ext>
                    </a:extLst>
                  </pic:spPr>
                </pic:pic>
              </a:graphicData>
            </a:graphic>
          </wp:inline>
        </w:drawing>
      </w:r>
    </w:p>
    <w:p w14:paraId="2ADAA4D1" w14:textId="268DB7B1" w:rsidR="00B63D3F" w:rsidRPr="00DF1BC5" w:rsidRDefault="00B63D3F" w:rsidP="00DF1BC5">
      <w:pPr>
        <w:pStyle w:val="Default"/>
        <w:snapToGrid w:val="0"/>
        <w:spacing w:afterLines="50" w:after="120" w:line="276" w:lineRule="auto"/>
        <w:ind w:leftChars="200" w:left="480"/>
        <w:jc w:val="center"/>
      </w:pPr>
      <w:r w:rsidRPr="00DF1BC5">
        <w:t xml:space="preserve">Global trend of </w:t>
      </w:r>
      <w:r w:rsidR="003E6028">
        <w:rPr>
          <w:rFonts w:eastAsia="MS Mincho" w:hint="eastAsia"/>
          <w:lang w:eastAsia="ja-JP"/>
        </w:rPr>
        <w:t>n</w:t>
      </w:r>
      <w:r w:rsidRPr="00DF1BC5">
        <w:t xml:space="preserve">etwork sharing: announced deals by type of sharing (cumulative). </w:t>
      </w:r>
      <w:r w:rsidRPr="00DF1BC5">
        <w:br/>
        <w:t xml:space="preserve">Source: </w:t>
      </w:r>
      <w:proofErr w:type="spellStart"/>
      <w:r w:rsidRPr="00DF1BC5">
        <w:t>Coleago</w:t>
      </w:r>
      <w:proofErr w:type="spellEnd"/>
      <w:r w:rsidRPr="00DF1BC5">
        <w:t>, GSMA Intelligence</w:t>
      </w:r>
    </w:p>
    <w:p w14:paraId="06CDCAFA" w14:textId="6E91B119" w:rsidR="00F77662" w:rsidRPr="0022667F" w:rsidRDefault="00F82E13" w:rsidP="00630F7B">
      <w:pPr>
        <w:pStyle w:val="Heading1"/>
        <w:spacing w:after="120"/>
      </w:pPr>
      <w:r>
        <w:t>Techniques for RAN</w:t>
      </w:r>
      <w:r w:rsidR="00F77662">
        <w:rPr>
          <w:rFonts w:eastAsia="MS Mincho" w:hint="eastAsia"/>
          <w:lang w:eastAsia="ja-JP"/>
        </w:rPr>
        <w:t xml:space="preserve"> and</w:t>
      </w:r>
      <w:r w:rsidR="001B1AF6">
        <w:rPr>
          <w:rFonts w:eastAsia="MS Mincho" w:hint="eastAsia"/>
          <w:lang w:eastAsia="ja-JP"/>
        </w:rPr>
        <w:t xml:space="preserve"> </w:t>
      </w:r>
      <w:r>
        <w:t>spectrum</w:t>
      </w:r>
      <w:r w:rsidRPr="00A14F4B">
        <w:t xml:space="preserve"> sharing</w:t>
      </w:r>
      <w:r>
        <w:t xml:space="preserve"> among MNOs</w:t>
      </w:r>
      <w:r w:rsidRPr="00A14F4B">
        <w:t xml:space="preserve"> </w:t>
      </w:r>
      <w:r w:rsidR="00730BAF">
        <w:rPr>
          <w:rFonts w:eastAsia="MS Mincho" w:hint="eastAsia"/>
          <w:lang w:eastAsia="ja-JP"/>
        </w:rPr>
        <w:t>in IMT networks</w:t>
      </w:r>
    </w:p>
    <w:p w14:paraId="6837A656" w14:textId="24737125" w:rsidR="00436FC8" w:rsidRPr="00AD4902" w:rsidRDefault="003B0F38" w:rsidP="00630F7B">
      <w:pPr>
        <w:rPr>
          <w:rFonts w:eastAsia="MS Mincho"/>
          <w:lang w:eastAsia="ja-JP"/>
        </w:rPr>
      </w:pPr>
      <w:r w:rsidRPr="003B0F38">
        <w:rPr>
          <w:rFonts w:eastAsia="MS Mincho"/>
          <w:lang w:eastAsia="ja-JP"/>
        </w:rPr>
        <w:t>This section focuses on sharing techniques mainly relating to active infrastructure sharing</w:t>
      </w:r>
      <w:r w:rsidR="00F77662">
        <w:rPr>
          <w:rFonts w:eastAsia="MS Mincho" w:hint="eastAsia"/>
          <w:lang w:eastAsia="ja-JP"/>
        </w:rPr>
        <w:t>.</w:t>
      </w:r>
    </w:p>
    <w:p w14:paraId="06FA7D9E" w14:textId="4782E504" w:rsidR="00623E94" w:rsidRPr="00525AE1" w:rsidRDefault="005A2C76" w:rsidP="00630F7B">
      <w:pPr>
        <w:rPr>
          <w:rFonts w:eastAsia="MS Mincho"/>
          <w:lang w:eastAsia="ja-JP"/>
        </w:rPr>
      </w:pPr>
      <w:r w:rsidRPr="00743F37">
        <w:rPr>
          <w:lang w:val="vi-VN" w:eastAsia="vi-VN"/>
        </w:rPr>
        <w:t>Ac</w:t>
      </w:r>
      <w:r w:rsidRPr="00823FB8">
        <w:rPr>
          <w:lang w:val="vi-VN" w:eastAsia="vi-VN"/>
        </w:rPr>
        <w:t xml:space="preserve">tive infrastructure sharing is sharing of electronic infrastructure of the network including </w:t>
      </w:r>
      <w:r w:rsidR="0049229A" w:rsidRPr="00823FB8">
        <w:rPr>
          <w:rFonts w:eastAsia="MS Mincho" w:hint="eastAsia"/>
          <w:lang w:val="vi-VN" w:eastAsia="ja-JP"/>
        </w:rPr>
        <w:t>RAN</w:t>
      </w:r>
      <w:r w:rsidRPr="00823FB8">
        <w:rPr>
          <w:lang w:val="vi-VN" w:eastAsia="vi-VN"/>
        </w:rPr>
        <w:t xml:space="preserve"> (consists of antennas/transceivers, base station</w:t>
      </w:r>
      <w:r w:rsidR="0049229A" w:rsidRPr="00823FB8">
        <w:rPr>
          <w:rFonts w:eastAsia="MS Mincho" w:hint="eastAsia"/>
          <w:lang w:val="vi-VN" w:eastAsia="ja-JP"/>
        </w:rPr>
        <w:t>s</w:t>
      </w:r>
      <w:r w:rsidRPr="00823FB8">
        <w:rPr>
          <w:lang w:val="vi-VN" w:eastAsia="vi-VN"/>
        </w:rPr>
        <w:t xml:space="preserve">, backhaul networks and controllers) and core network (servers and core network functionalities). This form </w:t>
      </w:r>
      <w:r w:rsidR="00FF0281" w:rsidRPr="002558E1">
        <w:t xml:space="preserve">of sharing is more complex </w:t>
      </w:r>
      <w:r w:rsidR="00FF0281" w:rsidRPr="002558E1">
        <w:lastRenderedPageBreak/>
        <w:t xml:space="preserve">as it requires close cooperation between </w:t>
      </w:r>
      <w:r w:rsidR="00823FB8" w:rsidRPr="002558E1">
        <w:rPr>
          <w:rFonts w:eastAsia="MS Mincho"/>
          <w:lang w:eastAsia="ja-JP"/>
        </w:rPr>
        <w:t>MNOs</w:t>
      </w:r>
      <w:r w:rsidR="00FF0281" w:rsidRPr="002558E1">
        <w:t xml:space="preserve"> and</w:t>
      </w:r>
      <w:r w:rsidR="00FF0281" w:rsidRPr="00823FB8">
        <w:rPr>
          <w:lang w:val="vi-VN" w:eastAsia="vi-VN"/>
        </w:rPr>
        <w:t xml:space="preserve"> </w:t>
      </w:r>
      <w:r w:rsidRPr="00823FB8">
        <w:rPr>
          <w:lang w:val="vi-VN" w:eastAsia="vi-VN"/>
        </w:rPr>
        <w:t>can be further classified</w:t>
      </w:r>
      <w:r w:rsidR="0032291E" w:rsidRPr="00823FB8">
        <w:rPr>
          <w:rFonts w:eastAsia="MS Mincho" w:hint="eastAsia"/>
          <w:lang w:val="vi-VN" w:eastAsia="ja-JP"/>
        </w:rPr>
        <w:t xml:space="preserve"> as outlined in the following </w:t>
      </w:r>
      <w:r w:rsidR="00E32091" w:rsidRPr="00823FB8">
        <w:rPr>
          <w:rFonts w:eastAsia="MS Mincho" w:hint="eastAsia"/>
          <w:lang w:val="vi-VN" w:eastAsia="ja-JP"/>
        </w:rPr>
        <w:t>sections</w:t>
      </w:r>
      <w:r w:rsidR="002A4081" w:rsidRPr="00823FB8">
        <w:rPr>
          <w:rFonts w:eastAsia="MS Mincho" w:hint="eastAsia"/>
          <w:lang w:eastAsia="ja-JP"/>
        </w:rPr>
        <w:t>.</w:t>
      </w:r>
    </w:p>
    <w:p w14:paraId="52B1C4C7" w14:textId="77777777" w:rsidR="005A2C76" w:rsidRPr="00630F7B" w:rsidRDefault="00C66662" w:rsidP="00753E5C">
      <w:pPr>
        <w:pStyle w:val="Heading2"/>
        <w:spacing w:after="120"/>
      </w:pPr>
      <w:r>
        <w:rPr>
          <w:rFonts w:eastAsia="MS Mincho" w:hint="eastAsia"/>
          <w:lang w:eastAsia="ja-JP"/>
        </w:rPr>
        <w:t xml:space="preserve"> </w:t>
      </w:r>
      <w:r w:rsidR="005A2C76" w:rsidRPr="00630F7B">
        <w:t>MORAN and MOCN</w:t>
      </w:r>
    </w:p>
    <w:p w14:paraId="08D6F0D8" w14:textId="77777777" w:rsidR="005A2C76" w:rsidRPr="00743F37" w:rsidRDefault="005A2C76" w:rsidP="00630F7B">
      <w:pPr>
        <w:rPr>
          <w:lang w:val="vi-VN" w:eastAsia="vi-VN"/>
        </w:rPr>
      </w:pPr>
      <w:r w:rsidRPr="00743F37">
        <w:rPr>
          <w:noProof/>
          <w:lang w:val="en-GB" w:eastAsia="en-GB"/>
        </w:rPr>
        <w:drawing>
          <wp:inline distT="0" distB="0" distL="0" distR="0" wp14:anchorId="684C0769" wp14:editId="47C52BC6">
            <wp:extent cx="5943600" cy="2221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21865"/>
                    </a:xfrm>
                    <a:prstGeom prst="rect">
                      <a:avLst/>
                    </a:prstGeom>
                    <a:noFill/>
                    <a:ln>
                      <a:noFill/>
                    </a:ln>
                  </pic:spPr>
                </pic:pic>
              </a:graphicData>
            </a:graphic>
          </wp:inline>
        </w:drawing>
      </w:r>
    </w:p>
    <w:p w14:paraId="38E24D2F" w14:textId="77777777" w:rsidR="005A2C76" w:rsidRPr="0004286B" w:rsidRDefault="005A2C76" w:rsidP="00753E5C">
      <w:pPr>
        <w:jc w:val="center"/>
        <w:rPr>
          <w:rFonts w:eastAsia="Times New Roman"/>
          <w:lang w:val="vi-VN" w:eastAsia="vi-VN"/>
        </w:rPr>
      </w:pPr>
      <w:r w:rsidRPr="001A15B2">
        <w:t>Network Resource Sharing Models (Source: GSMA)</w:t>
      </w:r>
    </w:p>
    <w:p w14:paraId="5CB7DF30" w14:textId="53173812" w:rsidR="005A2C76" w:rsidRDefault="005A2C76" w:rsidP="00753E5C">
      <w:pPr>
        <w:rPr>
          <w:lang w:eastAsia="vi-VN"/>
        </w:rPr>
      </w:pPr>
      <w:r w:rsidRPr="00B53982">
        <w:rPr>
          <w:lang w:eastAsia="vi-VN"/>
        </w:rPr>
        <w:t>-</w:t>
      </w:r>
      <w:r w:rsidRPr="00B53982">
        <w:rPr>
          <w:lang w:val="vi-VN" w:eastAsia="vi-VN"/>
        </w:rPr>
        <w:t xml:space="preserve"> </w:t>
      </w:r>
      <w:r w:rsidRPr="00B53982">
        <w:rPr>
          <w:b/>
          <w:bCs/>
          <w:lang w:val="vi-VN" w:eastAsia="vi-VN"/>
        </w:rPr>
        <w:t>MORAN</w:t>
      </w:r>
      <w:r w:rsidRPr="00B53982">
        <w:rPr>
          <w:lang w:val="vi-VN" w:eastAsia="vi-VN"/>
        </w:rPr>
        <w:t xml:space="preserve"> (Multi-Operator Radio Access Network), where </w:t>
      </w:r>
      <w:r w:rsidR="00EC1E46" w:rsidRPr="00B53982">
        <w:rPr>
          <w:rFonts w:eastAsia="MS Mincho" w:hint="eastAsia"/>
          <w:lang w:val="vi-VN" w:eastAsia="ja-JP"/>
        </w:rPr>
        <w:t>RAN</w:t>
      </w:r>
      <w:r w:rsidRPr="00B53982">
        <w:rPr>
          <w:lang w:val="vi-VN" w:eastAsia="vi-VN"/>
        </w:rPr>
        <w:t>s</w:t>
      </w:r>
      <w:r w:rsidR="00C66D02" w:rsidRPr="00DC3832">
        <w:rPr>
          <w:lang w:eastAsia="vi-VN"/>
        </w:rPr>
        <w:t>(tower, antenna etc</w:t>
      </w:r>
      <w:r w:rsidR="00673A74" w:rsidRPr="00DC3832">
        <w:rPr>
          <w:rFonts w:eastAsia="MS Mincho"/>
          <w:lang w:eastAsia="ja-JP"/>
        </w:rPr>
        <w:t>.</w:t>
      </w:r>
      <w:r w:rsidR="00C66D02" w:rsidRPr="00DC3832">
        <w:rPr>
          <w:lang w:eastAsia="vi-VN"/>
        </w:rPr>
        <w:t>)</w:t>
      </w:r>
      <w:r w:rsidRPr="00B53982">
        <w:rPr>
          <w:lang w:val="vi-VN" w:eastAsia="vi-VN"/>
        </w:rPr>
        <w:t xml:space="preserve"> are shared </w:t>
      </w:r>
      <w:r w:rsidR="00AF1EAE" w:rsidRPr="00DC3832">
        <w:rPr>
          <w:lang w:eastAsia="vi-VN"/>
        </w:rPr>
        <w:t xml:space="preserve">but each </w:t>
      </w:r>
      <w:r w:rsidR="00AB12CC" w:rsidRPr="00DC3832">
        <w:rPr>
          <w:rFonts w:eastAsia="MS Mincho"/>
          <w:lang w:eastAsia="ja-JP"/>
        </w:rPr>
        <w:t>MNOs</w:t>
      </w:r>
      <w:r w:rsidR="00AF1EAE" w:rsidRPr="00DC3832">
        <w:rPr>
          <w:lang w:eastAsia="vi-VN"/>
        </w:rPr>
        <w:t xml:space="preserve"> uses its</w:t>
      </w:r>
      <w:r w:rsidR="00AF1EAE" w:rsidRPr="00B53982">
        <w:rPr>
          <w:lang w:val="vi-VN" w:eastAsia="vi-VN"/>
        </w:rPr>
        <w:t xml:space="preserve"> </w:t>
      </w:r>
      <w:r w:rsidRPr="00B53982">
        <w:rPr>
          <w:lang w:val="vi-VN" w:eastAsia="vi-VN"/>
        </w:rPr>
        <w:t xml:space="preserve">dedicated spectrum is used by each </w:t>
      </w:r>
      <w:r w:rsidR="00177742" w:rsidRPr="00B53982">
        <w:rPr>
          <w:rFonts w:eastAsia="MS Mincho" w:hint="eastAsia"/>
          <w:lang w:val="vi-VN" w:eastAsia="ja-JP"/>
        </w:rPr>
        <w:t>MNO</w:t>
      </w:r>
      <w:r w:rsidRPr="00B53982">
        <w:rPr>
          <w:lang w:eastAsia="vi-VN"/>
        </w:rPr>
        <w:t xml:space="preserve">. </w:t>
      </w:r>
      <w:r w:rsidRPr="00B53982">
        <w:rPr>
          <w:lang w:val="vi-VN" w:eastAsia="vi-VN"/>
        </w:rPr>
        <w:t>With MORAN</w:t>
      </w:r>
      <w:r w:rsidRPr="00B53982">
        <w:rPr>
          <w:lang w:eastAsia="vi-VN"/>
        </w:rPr>
        <w:t xml:space="preserve"> </w:t>
      </w:r>
      <w:r w:rsidRPr="00B53982">
        <w:rPr>
          <w:lang w:val="vi-VN" w:eastAsia="vi-VN"/>
        </w:rPr>
        <w:t>everything in the RAN</w:t>
      </w:r>
      <w:r w:rsidRPr="00B53982">
        <w:rPr>
          <w:lang w:eastAsia="vi-VN"/>
        </w:rPr>
        <w:t xml:space="preserve"> (</w:t>
      </w:r>
      <w:r w:rsidRPr="00B53982">
        <w:rPr>
          <w:lang w:val="vi-VN" w:eastAsia="vi-VN"/>
        </w:rPr>
        <w:t>antenna, tower, site, power</w:t>
      </w:r>
      <w:r w:rsidRPr="00B53982">
        <w:rPr>
          <w:lang w:eastAsia="vi-VN"/>
        </w:rPr>
        <w:t>)</w:t>
      </w:r>
      <w:r w:rsidRPr="00B53982">
        <w:rPr>
          <w:lang w:val="vi-VN" w:eastAsia="vi-VN"/>
        </w:rPr>
        <w:t xml:space="preserve"> except the </w:t>
      </w:r>
      <w:r w:rsidR="00B50F27" w:rsidRPr="00B53982">
        <w:rPr>
          <w:rFonts w:eastAsia="MS Mincho" w:hint="eastAsia"/>
          <w:lang w:val="vi-VN" w:eastAsia="ja-JP"/>
        </w:rPr>
        <w:t xml:space="preserve">spectrum </w:t>
      </w:r>
      <w:r w:rsidRPr="00B53982">
        <w:rPr>
          <w:lang w:val="vi-VN" w:eastAsia="vi-VN"/>
        </w:rPr>
        <w:t xml:space="preserve">is shared between two or more </w:t>
      </w:r>
      <w:r w:rsidR="00F66925" w:rsidRPr="00B53982">
        <w:rPr>
          <w:rFonts w:eastAsia="MS Mincho" w:hint="eastAsia"/>
          <w:lang w:val="vi-VN" w:eastAsia="ja-JP"/>
        </w:rPr>
        <w:t>MNO</w:t>
      </w:r>
      <w:r w:rsidRPr="00B53982">
        <w:rPr>
          <w:lang w:val="vi-VN" w:eastAsia="vi-VN"/>
        </w:rPr>
        <w:t>s</w:t>
      </w:r>
      <w:r w:rsidRPr="00B53982">
        <w:rPr>
          <w:lang w:eastAsia="vi-VN"/>
        </w:rPr>
        <w:t>.</w:t>
      </w:r>
      <w:r w:rsidR="00232EF2" w:rsidRPr="00B53982">
        <w:rPr>
          <w:lang w:eastAsia="vi-VN"/>
        </w:rPr>
        <w:t xml:space="preserve"> </w:t>
      </w:r>
      <w:r w:rsidR="00232EF2" w:rsidRPr="00DC3832">
        <w:rPr>
          <w:lang w:eastAsia="vi-VN"/>
        </w:rPr>
        <w:t xml:space="preserve">The base station equipment is configured to broadcast multiple Public Land Mobile Network (PLMN) IDs on their respective carriers.  </w:t>
      </w:r>
      <w:r w:rsidR="00AB12CC" w:rsidRPr="00DC3832">
        <w:rPr>
          <w:rFonts w:eastAsia="MS Mincho"/>
          <w:lang w:eastAsia="ja-JP"/>
        </w:rPr>
        <w:t>MNOs</w:t>
      </w:r>
      <w:r w:rsidR="00232EF2" w:rsidRPr="00DC3832">
        <w:rPr>
          <w:lang w:eastAsia="vi-VN"/>
        </w:rPr>
        <w:t xml:space="preserve"> maintain independent control over their spectrum and services, allowing for a high degree of service differentiation. The solution simplifies RAN infrastructure sharing and is well-suited for scenarios where </w:t>
      </w:r>
      <w:r w:rsidR="00AB12CC" w:rsidRPr="00DC3832">
        <w:rPr>
          <w:rFonts w:eastAsia="MS Mincho"/>
          <w:lang w:eastAsia="ja-JP"/>
        </w:rPr>
        <w:t>MNOs</w:t>
      </w:r>
      <w:r w:rsidR="00232EF2" w:rsidRPr="00DC3832">
        <w:rPr>
          <w:lang w:eastAsia="vi-VN"/>
        </w:rPr>
        <w:t xml:space="preserve"> want to maintain operational independence.</w:t>
      </w:r>
    </w:p>
    <w:p w14:paraId="14FA097C" w14:textId="77392391" w:rsidR="005A2C76" w:rsidRPr="006665F2" w:rsidRDefault="005A2C76" w:rsidP="00753E5C">
      <w:pPr>
        <w:rPr>
          <w:rFonts w:eastAsia="MS Mincho"/>
          <w:lang w:val="vi-VN" w:eastAsia="ja-JP"/>
        </w:rPr>
      </w:pPr>
      <w:r>
        <w:rPr>
          <w:lang w:eastAsia="vi-VN"/>
        </w:rPr>
        <w:t>-</w:t>
      </w:r>
      <w:r w:rsidRPr="00743F37">
        <w:rPr>
          <w:lang w:val="vi-VN" w:eastAsia="vi-VN"/>
        </w:rPr>
        <w:t xml:space="preserve"> </w:t>
      </w:r>
      <w:r w:rsidRPr="001A15B2">
        <w:rPr>
          <w:b/>
          <w:bCs/>
          <w:lang w:val="vi-VN" w:eastAsia="vi-VN"/>
        </w:rPr>
        <w:t>MOCN</w:t>
      </w:r>
      <w:r w:rsidRPr="00743F37">
        <w:rPr>
          <w:lang w:val="vi-VN" w:eastAsia="vi-VN"/>
        </w:rPr>
        <w:t xml:space="preserve"> (Multi-Operator Core Network), </w:t>
      </w:r>
      <w:r w:rsidR="00F5073A" w:rsidRPr="00DC3832">
        <w:rPr>
          <w:lang w:eastAsia="vi-VN"/>
        </w:rPr>
        <w:t>where two or more core networks share a single RAN and a common spectrum block. Multiple PLMN IDs are broadcasted on shared carriers, and a user's device selects its home network</w:t>
      </w:r>
      <w:r w:rsidR="00CB1DF6">
        <w:rPr>
          <w:rFonts w:eastAsia="MS Mincho" w:hint="eastAsia"/>
          <w:lang w:eastAsia="ja-JP"/>
        </w:rPr>
        <w:t xml:space="preserve">. </w:t>
      </w:r>
      <w:r w:rsidRPr="004233BD">
        <w:rPr>
          <w:lang w:val="vi-VN" w:eastAsia="vi-VN"/>
        </w:rPr>
        <w:t>With MOCN, two or more core networks share the same RAN</w:t>
      </w:r>
      <w:r w:rsidR="00F350C6">
        <w:rPr>
          <w:rFonts w:eastAsia="MS Mincho" w:hint="eastAsia"/>
          <w:lang w:val="vi-VN" w:eastAsia="ja-JP"/>
        </w:rPr>
        <w:t>, including the spectrum</w:t>
      </w:r>
      <w:r w:rsidRPr="004233BD">
        <w:rPr>
          <w:lang w:val="vi-VN" w:eastAsia="vi-VN"/>
        </w:rPr>
        <w:t xml:space="preserve">. MOCN is </w:t>
      </w:r>
      <w:r w:rsidR="00DD57A5">
        <w:rPr>
          <w:rFonts w:eastAsia="MS Mincho" w:hint="eastAsia"/>
          <w:lang w:val="vi-VN" w:eastAsia="ja-JP"/>
        </w:rPr>
        <w:t xml:space="preserve">a </w:t>
      </w:r>
      <w:r w:rsidRPr="004233BD">
        <w:rPr>
          <w:lang w:val="vi-VN" w:eastAsia="vi-VN"/>
        </w:rPr>
        <w:t xml:space="preserve">resource efficient solution as it </w:t>
      </w:r>
      <w:r w:rsidR="00170769">
        <w:rPr>
          <w:rFonts w:eastAsia="MS Mincho" w:hint="eastAsia"/>
          <w:lang w:val="vi-VN" w:eastAsia="ja-JP"/>
        </w:rPr>
        <w:t xml:space="preserve">could give an </w:t>
      </w:r>
      <w:r w:rsidRPr="004233BD">
        <w:rPr>
          <w:lang w:val="vi-VN" w:eastAsia="vi-VN"/>
        </w:rPr>
        <w:t xml:space="preserve">opportunity </w:t>
      </w:r>
      <w:r w:rsidR="007515E8">
        <w:rPr>
          <w:rFonts w:eastAsia="MS Mincho" w:hint="eastAsia"/>
          <w:lang w:val="vi-VN" w:eastAsia="ja-JP"/>
        </w:rPr>
        <w:t xml:space="preserve">for MNOs </w:t>
      </w:r>
      <w:r w:rsidRPr="004233BD">
        <w:rPr>
          <w:lang w:val="vi-VN" w:eastAsia="vi-VN"/>
        </w:rPr>
        <w:t xml:space="preserve">to pool their respective spectrum allocations, </w:t>
      </w:r>
      <w:r w:rsidR="00C80B95">
        <w:rPr>
          <w:rFonts w:eastAsia="MS Mincho" w:hint="eastAsia"/>
          <w:lang w:val="vi-VN" w:eastAsia="ja-JP"/>
        </w:rPr>
        <w:t xml:space="preserve">which could </w:t>
      </w:r>
      <w:r w:rsidRPr="004233BD">
        <w:rPr>
          <w:lang w:val="vi-VN" w:eastAsia="vi-VN"/>
        </w:rPr>
        <w:t xml:space="preserve">result in improved trunking efficiency. For UMTS, MOCN has been supported since 3GPP Release-6. For LTE since Release-8 and </w:t>
      </w:r>
      <w:r w:rsidR="00453D08">
        <w:rPr>
          <w:rFonts w:eastAsia="MS Mincho" w:hint="eastAsia"/>
          <w:lang w:val="vi-VN" w:eastAsia="ja-JP"/>
        </w:rPr>
        <w:t>s</w:t>
      </w:r>
      <w:r w:rsidRPr="004233BD">
        <w:rPr>
          <w:lang w:val="vi-VN" w:eastAsia="vi-VN"/>
        </w:rPr>
        <w:t>upport for GERAN was added as part of Release-11.</w:t>
      </w:r>
    </w:p>
    <w:p w14:paraId="574A93BE" w14:textId="77777777" w:rsidR="005A2C76" w:rsidRDefault="005A2C76" w:rsidP="00753E5C">
      <w:pPr>
        <w:rPr>
          <w:lang w:val="vi-VN" w:eastAsia="vi-VN"/>
        </w:rPr>
      </w:pPr>
      <w:r w:rsidRPr="00743F37">
        <w:rPr>
          <w:lang w:val="vi-VN" w:eastAsia="vi-VN"/>
        </w:rPr>
        <w:t>As in the case of site sharing, MORAN and MOCN can be implemented per sites and enables strategic differentiation. However, operation of network equipment needs to be shared (or at least issues must be shared with participants) and therefore increases the complexity of sharing relative to site sharing. The cost-saving potential is greater than site sharing. Core network enables greater cost-saving potential but is complicated to operate and to maintain strategic differentiation.</w:t>
      </w:r>
    </w:p>
    <w:p w14:paraId="6312B49E" w14:textId="727ADD2B" w:rsidR="005A2C76" w:rsidRPr="00C86779" w:rsidRDefault="005A2C76" w:rsidP="003E3BEF">
      <w:pPr>
        <w:keepNext/>
        <w:rPr>
          <w:rStyle w:val="Strong"/>
          <w:rFonts w:eastAsia="MS Mincho"/>
          <w:lang w:eastAsia="ja-JP"/>
        </w:rPr>
      </w:pPr>
      <w:r w:rsidRPr="00BE075C">
        <w:rPr>
          <w:rStyle w:val="Strong"/>
        </w:rPr>
        <w:lastRenderedPageBreak/>
        <w:t>Difference between MORAN</w:t>
      </w:r>
      <w:r w:rsidR="009752D8">
        <w:rPr>
          <w:rStyle w:val="Strong"/>
          <w:rFonts w:eastAsia="MS Mincho" w:hint="eastAsia"/>
          <w:lang w:eastAsia="ja-JP"/>
        </w:rPr>
        <w:t xml:space="preserve"> and MOCN</w:t>
      </w:r>
    </w:p>
    <w:p w14:paraId="5FA7EE02" w14:textId="77777777" w:rsidR="005A2C76" w:rsidRPr="00502D8C" w:rsidRDefault="005A2C76" w:rsidP="00753E5C">
      <w:pPr>
        <w:jc w:val="center"/>
      </w:pPr>
      <w:r w:rsidRPr="00E470F8">
        <w:rPr>
          <w:rStyle w:val="Strong"/>
          <w:noProof/>
          <w:color w:val="FF0000"/>
          <w:lang w:val="en-GB" w:eastAsia="en-GB"/>
        </w:rPr>
        <w:drawing>
          <wp:inline distT="0" distB="0" distL="0" distR="0" wp14:anchorId="722D2298" wp14:editId="48950EFD">
            <wp:extent cx="5824855" cy="20396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4855" cy="2039620"/>
                    </a:xfrm>
                    <a:prstGeom prst="rect">
                      <a:avLst/>
                    </a:prstGeom>
                  </pic:spPr>
                </pic:pic>
              </a:graphicData>
            </a:graphic>
          </wp:inline>
        </w:drawing>
      </w:r>
      <w:r w:rsidRPr="001A15B2">
        <w:t>Comparison Between MORAN and MOCN (Source: GSMA)</w:t>
      </w:r>
    </w:p>
    <w:p w14:paraId="4862B00C" w14:textId="7FE2C722" w:rsidR="005A2C76" w:rsidRPr="00D15172" w:rsidRDefault="005A2C76" w:rsidP="00753E5C">
      <w:r w:rsidRPr="00D15172">
        <w:rPr>
          <w:rStyle w:val="Strong"/>
          <w:b w:val="0"/>
          <w:bCs w:val="0"/>
        </w:rPr>
        <w:t>In MORAN</w:t>
      </w:r>
      <w:r w:rsidRPr="00D15172">
        <w:t xml:space="preserve">, multiple independent carriers are </w:t>
      </w:r>
      <w:proofErr w:type="gramStart"/>
      <w:r w:rsidRPr="00D15172">
        <w:t>configured</w:t>
      </w:r>
      <w:proofErr w:type="gramEnd"/>
      <w:r w:rsidRPr="00D15172">
        <w:t xml:space="preserve"> and the </w:t>
      </w:r>
      <w:r w:rsidR="006E319D" w:rsidRPr="00D15172">
        <w:t>Public Land Mobile Network</w:t>
      </w:r>
      <w:r w:rsidR="006E319D">
        <w:rPr>
          <w:rFonts w:eastAsia="MS Mincho" w:hint="eastAsia"/>
          <w:lang w:eastAsia="ja-JP"/>
        </w:rPr>
        <w:t xml:space="preserve"> (</w:t>
      </w:r>
      <w:r w:rsidRPr="00D15172">
        <w:t>PLMN</w:t>
      </w:r>
      <w:r w:rsidR="006E319D">
        <w:rPr>
          <w:rFonts w:eastAsia="MS Mincho" w:hint="eastAsia"/>
          <w:lang w:eastAsia="ja-JP"/>
        </w:rPr>
        <w:t>)</w:t>
      </w:r>
      <w:r w:rsidRPr="00D15172">
        <w:t xml:space="preserve"> IDs of operators are </w:t>
      </w:r>
      <w:proofErr w:type="gramStart"/>
      <w:r w:rsidRPr="00D15172">
        <w:t>broadcasted</w:t>
      </w:r>
      <w:proofErr w:type="gramEnd"/>
      <w:r w:rsidRPr="00D15172">
        <w:t xml:space="preserve"> on th</w:t>
      </w:r>
      <w:r w:rsidR="00574438">
        <w:rPr>
          <w:rFonts w:eastAsia="MS Mincho" w:hint="eastAsia"/>
          <w:lang w:eastAsia="ja-JP"/>
        </w:rPr>
        <w:t>os</w:t>
      </w:r>
      <w:r w:rsidRPr="00D15172">
        <w:t xml:space="preserve">e carriers. Baseband Units (BBUs) are shared and connected to Remote Radio Units (RRUs) and Active Antenna Units (AAUs) provided by the same vendor of BBUs. Each carrier is </w:t>
      </w:r>
      <w:r w:rsidRPr="00D15172">
        <w:rPr>
          <w:rStyle w:val="Strong"/>
          <w:b w:val="0"/>
          <w:bCs w:val="0"/>
        </w:rPr>
        <w:t xml:space="preserve">independently </w:t>
      </w:r>
      <w:r w:rsidRPr="00D15172">
        <w:t>configured and managed. The RAN infrastructure provides logically and physically separated cell resources and core network connectivity on a per-</w:t>
      </w:r>
      <w:r w:rsidR="00723F73">
        <w:rPr>
          <w:rFonts w:eastAsia="MS Mincho" w:hint="eastAsia"/>
          <w:lang w:eastAsia="ja-JP"/>
        </w:rPr>
        <w:t>MNO</w:t>
      </w:r>
      <w:r w:rsidRPr="00D15172">
        <w:t xml:space="preserve"> basis.</w:t>
      </w:r>
      <w:r w:rsidR="003C1DC8">
        <w:rPr>
          <w:rFonts w:eastAsia="MS Mincho" w:hint="eastAsia"/>
          <w:lang w:eastAsia="ja-JP"/>
        </w:rPr>
        <w:t xml:space="preserve"> </w:t>
      </w:r>
      <w:r w:rsidRPr="00D15172">
        <w:t xml:space="preserve">The MORAN solution features </w:t>
      </w:r>
      <w:r w:rsidRPr="00D15172">
        <w:rPr>
          <w:rStyle w:val="Strong"/>
          <w:b w:val="0"/>
          <w:bCs w:val="0"/>
        </w:rPr>
        <w:t xml:space="preserve">simple </w:t>
      </w:r>
      <w:r w:rsidRPr="00D15172">
        <w:t xml:space="preserve">RAN infrastructure sharing and </w:t>
      </w:r>
      <w:r w:rsidR="008712E2" w:rsidRPr="008712E2">
        <w:t xml:space="preserve">operation &amp; maintenance </w:t>
      </w:r>
      <w:r w:rsidR="006C02EF">
        <w:rPr>
          <w:rFonts w:eastAsia="MS Mincho" w:hint="eastAsia"/>
          <w:lang w:eastAsia="ja-JP"/>
        </w:rPr>
        <w:t>(</w:t>
      </w:r>
      <w:r w:rsidRPr="00D15172">
        <w:t>O&amp;M</w:t>
      </w:r>
      <w:r w:rsidR="006C02EF">
        <w:rPr>
          <w:rFonts w:eastAsia="MS Mincho" w:hint="eastAsia"/>
          <w:lang w:eastAsia="ja-JP"/>
        </w:rPr>
        <w:t>),</w:t>
      </w:r>
      <w:r w:rsidRPr="00D15172">
        <w:t xml:space="preserve"> and is applicable to scenarios where </w:t>
      </w:r>
      <w:r w:rsidR="00723F73">
        <w:rPr>
          <w:rFonts w:eastAsia="MS Mincho" w:hint="eastAsia"/>
          <w:lang w:eastAsia="ja-JP"/>
        </w:rPr>
        <w:t>MNO</w:t>
      </w:r>
      <w:r w:rsidRPr="00D15172">
        <w:t xml:space="preserve">s need to maintain service and deployment </w:t>
      </w:r>
      <w:r w:rsidRPr="00D15172">
        <w:rPr>
          <w:rStyle w:val="Strong"/>
          <w:b w:val="0"/>
          <w:bCs w:val="0"/>
        </w:rPr>
        <w:t xml:space="preserve">independence </w:t>
      </w:r>
      <w:r w:rsidRPr="00D15172">
        <w:t xml:space="preserve">in shared networks. </w:t>
      </w:r>
    </w:p>
    <w:p w14:paraId="0D0896BA" w14:textId="1068C86C" w:rsidR="005A2C76" w:rsidRPr="00D15172" w:rsidRDefault="005A2C76" w:rsidP="00753E5C">
      <w:r w:rsidRPr="00D15172">
        <w:rPr>
          <w:rStyle w:val="Strong"/>
          <w:b w:val="0"/>
          <w:bCs w:val="0"/>
        </w:rPr>
        <w:t>In MOCN</w:t>
      </w:r>
      <w:r w:rsidRPr="00D15172">
        <w:t xml:space="preserve">, one or more carriers are configured for frequency sharing. </w:t>
      </w:r>
      <w:r w:rsidR="006E319D">
        <w:rPr>
          <w:rFonts w:eastAsia="MS Mincho" w:hint="eastAsia"/>
          <w:lang w:eastAsia="ja-JP"/>
        </w:rPr>
        <w:t>MNO</w:t>
      </w:r>
      <w:r w:rsidRPr="00D15172">
        <w:t xml:space="preserve">s </w:t>
      </w:r>
      <w:r w:rsidRPr="00D15172">
        <w:rPr>
          <w:rStyle w:val="Strong"/>
          <w:b w:val="0"/>
          <w:bCs w:val="0"/>
        </w:rPr>
        <w:t xml:space="preserve">share </w:t>
      </w:r>
      <w:r w:rsidRPr="00D15172">
        <w:t xml:space="preserve">their cells – physically and logically; in each cell, multiple PLMNs are broadcasted. </w:t>
      </w:r>
      <w:r w:rsidRPr="00D15172">
        <w:rPr>
          <w:rStyle w:val="Strong"/>
          <w:b w:val="0"/>
          <w:bCs w:val="0"/>
        </w:rPr>
        <w:t xml:space="preserve">Sharing </w:t>
      </w:r>
      <w:r w:rsidRPr="00D15172">
        <w:t xml:space="preserve">radio resources among participating </w:t>
      </w:r>
      <w:r w:rsidR="00486C8D">
        <w:rPr>
          <w:rFonts w:eastAsia="MS Mincho" w:hint="eastAsia"/>
          <w:lang w:eastAsia="ja-JP"/>
        </w:rPr>
        <w:t>MNO</w:t>
      </w:r>
      <w:r w:rsidR="00486C8D" w:rsidRPr="00D15172">
        <w:t xml:space="preserve">s </w:t>
      </w:r>
      <w:r w:rsidRPr="00D15172">
        <w:t xml:space="preserve">is performed according to service level agreements. </w:t>
      </w:r>
    </w:p>
    <w:p w14:paraId="1D8B134C" w14:textId="7ACEDB6D" w:rsidR="005A2C76" w:rsidRPr="00BE075C" w:rsidRDefault="005A2C76" w:rsidP="00753E5C">
      <w:r w:rsidRPr="00D15172">
        <w:t xml:space="preserve">Parameterization of cell-level features needs to be negotiated among all </w:t>
      </w:r>
      <w:r w:rsidR="00486C8D">
        <w:rPr>
          <w:rFonts w:eastAsia="MS Mincho" w:hint="eastAsia"/>
          <w:lang w:eastAsia="ja-JP"/>
        </w:rPr>
        <w:t>MNO</w:t>
      </w:r>
      <w:r w:rsidRPr="00D15172">
        <w:t>s. UEs accessing shared cells select one of the broadcast</w:t>
      </w:r>
      <w:r w:rsidR="008735BA">
        <w:rPr>
          <w:rFonts w:eastAsia="MS Mincho" w:hint="eastAsia"/>
          <w:lang w:eastAsia="ja-JP"/>
        </w:rPr>
        <w:t>ed</w:t>
      </w:r>
      <w:r w:rsidRPr="00D15172">
        <w:t xml:space="preserve"> PLMNs and communicate this selection to</w:t>
      </w:r>
      <w:r w:rsidR="001250EB">
        <w:rPr>
          <w:rFonts w:eastAsia="MS Mincho" w:hint="eastAsia"/>
          <w:lang w:eastAsia="ja-JP"/>
        </w:rPr>
        <w:t xml:space="preserve"> </w:t>
      </w:r>
      <w:r w:rsidRPr="00D15172">
        <w:t xml:space="preserve">the </w:t>
      </w:r>
      <w:r w:rsidR="001250EB">
        <w:rPr>
          <w:rFonts w:eastAsia="MS Mincho" w:hint="eastAsia"/>
          <w:lang w:eastAsia="ja-JP"/>
        </w:rPr>
        <w:t>base station</w:t>
      </w:r>
      <w:r w:rsidRPr="00D15172">
        <w:t xml:space="preserve">, which connects UEs to their selected core network. MOCN is used when </w:t>
      </w:r>
      <w:r w:rsidR="00B1376B">
        <w:rPr>
          <w:rFonts w:eastAsia="MS Mincho" w:hint="eastAsia"/>
          <w:lang w:eastAsia="ja-JP"/>
        </w:rPr>
        <w:t xml:space="preserve">the </w:t>
      </w:r>
      <w:r w:rsidR="00610416">
        <w:rPr>
          <w:rFonts w:eastAsia="MS Mincho" w:hint="eastAsia"/>
          <w:lang w:eastAsia="ja-JP"/>
        </w:rPr>
        <w:t xml:space="preserve">MNO </w:t>
      </w:r>
      <w:r w:rsidRPr="00D15172">
        <w:t xml:space="preserve">A has a spectrum license, and </w:t>
      </w:r>
      <w:r w:rsidR="007D0A90">
        <w:rPr>
          <w:rFonts w:eastAsia="MS Mincho" w:hint="eastAsia"/>
          <w:lang w:eastAsia="ja-JP"/>
        </w:rPr>
        <w:t xml:space="preserve">another MNO </w:t>
      </w:r>
      <w:r w:rsidRPr="00D15172">
        <w:t xml:space="preserve">does </w:t>
      </w:r>
      <w:r w:rsidRPr="00D15172">
        <w:rPr>
          <w:rStyle w:val="Strong"/>
          <w:b w:val="0"/>
          <w:bCs w:val="0"/>
        </w:rPr>
        <w:t xml:space="preserve">not </w:t>
      </w:r>
      <w:r w:rsidRPr="00D15172">
        <w:t>have a spectr</w:t>
      </w:r>
      <w:r w:rsidRPr="00BE075C">
        <w:t xml:space="preserve">um license but would like to use the spectrum of </w:t>
      </w:r>
      <w:r w:rsidR="007D0A90">
        <w:rPr>
          <w:rFonts w:eastAsia="MS Mincho" w:hint="eastAsia"/>
          <w:lang w:eastAsia="ja-JP"/>
        </w:rPr>
        <w:t>MNO</w:t>
      </w:r>
      <w:r w:rsidR="007D0A90" w:rsidRPr="00BE075C">
        <w:t xml:space="preserve"> </w:t>
      </w:r>
      <w:r w:rsidRPr="00BE075C">
        <w:t>A.</w:t>
      </w:r>
    </w:p>
    <w:p w14:paraId="7B700726" w14:textId="2CD8251A" w:rsidR="005A2C76" w:rsidRPr="00BE075C" w:rsidRDefault="00942874" w:rsidP="00753E5C">
      <w:pPr>
        <w:rPr>
          <w:b/>
          <w:bCs/>
        </w:rPr>
      </w:pPr>
      <w:r>
        <w:rPr>
          <w:rStyle w:val="Strong"/>
          <w:rFonts w:eastAsia="MS Mincho" w:hint="eastAsia"/>
          <w:b w:val="0"/>
          <w:bCs w:val="0"/>
          <w:lang w:eastAsia="ja-JP"/>
        </w:rPr>
        <w:t xml:space="preserve">In summary, </w:t>
      </w:r>
      <w:r w:rsidR="005A2C76" w:rsidRPr="00BE075C">
        <w:rPr>
          <w:rStyle w:val="Strong"/>
          <w:b w:val="0"/>
          <w:bCs w:val="0"/>
        </w:rPr>
        <w:t xml:space="preserve">MORAN </w:t>
      </w:r>
      <w:r>
        <w:rPr>
          <w:rStyle w:val="Strong"/>
          <w:rFonts w:eastAsia="MS Mincho" w:hint="eastAsia"/>
          <w:b w:val="0"/>
          <w:bCs w:val="0"/>
          <w:lang w:eastAsia="ja-JP"/>
        </w:rPr>
        <w:t>allows for</w:t>
      </w:r>
      <w:r w:rsidR="005A2C76" w:rsidRPr="00BE075C">
        <w:rPr>
          <w:rStyle w:val="Strong"/>
          <w:b w:val="0"/>
          <w:bCs w:val="0"/>
        </w:rPr>
        <w:t xml:space="preserve"> a more independent network</w:t>
      </w:r>
      <w:r w:rsidR="009A013C">
        <w:rPr>
          <w:rStyle w:val="Strong"/>
          <w:rFonts w:eastAsia="MS Mincho" w:hint="eastAsia"/>
          <w:b w:val="0"/>
          <w:bCs w:val="0"/>
          <w:lang w:eastAsia="ja-JP"/>
        </w:rPr>
        <w:t>, while</w:t>
      </w:r>
      <w:r w:rsidR="005A2C76" w:rsidRPr="00BE075C">
        <w:rPr>
          <w:rStyle w:val="Strong"/>
          <w:b w:val="0"/>
          <w:bCs w:val="0"/>
        </w:rPr>
        <w:t xml:space="preserve"> MOCN </w:t>
      </w:r>
      <w:r w:rsidR="009A013C">
        <w:rPr>
          <w:rStyle w:val="Strong"/>
          <w:rFonts w:eastAsia="MS Mincho" w:hint="eastAsia"/>
          <w:b w:val="0"/>
          <w:bCs w:val="0"/>
          <w:lang w:eastAsia="ja-JP"/>
        </w:rPr>
        <w:t xml:space="preserve">represents a </w:t>
      </w:r>
      <w:r w:rsidR="005A2C76" w:rsidRPr="00BE075C">
        <w:rPr>
          <w:rStyle w:val="Strong"/>
          <w:b w:val="0"/>
          <w:bCs w:val="0"/>
        </w:rPr>
        <w:t>unified way of network implementation and sharing. </w:t>
      </w:r>
    </w:p>
    <w:p w14:paraId="13CF3405" w14:textId="77777777" w:rsidR="005A2C76" w:rsidRPr="00630F7B" w:rsidRDefault="00C66662" w:rsidP="00753E5C">
      <w:pPr>
        <w:pStyle w:val="Heading2"/>
        <w:spacing w:after="120"/>
      </w:pPr>
      <w:r>
        <w:rPr>
          <w:rFonts w:eastAsia="MS Mincho" w:hint="eastAsia"/>
          <w:lang w:eastAsia="ja-JP"/>
        </w:rPr>
        <w:t xml:space="preserve"> </w:t>
      </w:r>
      <w:r w:rsidR="009705ED">
        <w:rPr>
          <w:rFonts w:eastAsia="MS Mincho" w:hint="eastAsia"/>
          <w:lang w:eastAsia="ja-JP"/>
        </w:rPr>
        <w:t>National</w:t>
      </w:r>
      <w:r w:rsidR="00D85571">
        <w:rPr>
          <w:rFonts w:eastAsia="MS Mincho" w:hint="eastAsia"/>
          <w:lang w:eastAsia="ja-JP"/>
        </w:rPr>
        <w:t>/domestic</w:t>
      </w:r>
      <w:r w:rsidR="009705ED">
        <w:rPr>
          <w:rFonts w:eastAsia="MS Mincho" w:hint="eastAsia"/>
          <w:lang w:eastAsia="ja-JP"/>
        </w:rPr>
        <w:t xml:space="preserve"> </w:t>
      </w:r>
      <w:r w:rsidR="005A2C76" w:rsidRPr="00630F7B">
        <w:t>Roaming</w:t>
      </w:r>
    </w:p>
    <w:p w14:paraId="0F0B56FF" w14:textId="110D02F6" w:rsidR="005A2C76" w:rsidRDefault="005A2C76" w:rsidP="00630F7B">
      <w:pPr>
        <w:rPr>
          <w:lang w:val="vi-VN" w:eastAsia="vi-VN"/>
        </w:rPr>
      </w:pPr>
      <w:r w:rsidRPr="00D15172">
        <w:rPr>
          <w:lang w:eastAsia="vi-VN"/>
        </w:rPr>
        <w:t>R</w:t>
      </w:r>
      <w:r w:rsidRPr="00D15172">
        <w:rPr>
          <w:lang w:val="vi-VN" w:eastAsia="vi-VN"/>
        </w:rPr>
        <w:t xml:space="preserve">oaming is </w:t>
      </w:r>
      <w:r w:rsidRPr="00743F37">
        <w:rPr>
          <w:lang w:val="vi-VN" w:eastAsia="vi-VN"/>
        </w:rPr>
        <w:t xml:space="preserve">a method of </w:t>
      </w:r>
      <w:proofErr w:type="gramStart"/>
      <w:r w:rsidRPr="00743F37">
        <w:rPr>
          <w:lang w:val="vi-VN" w:eastAsia="vi-VN"/>
        </w:rPr>
        <w:t>infrastructure sharing</w:t>
      </w:r>
      <w:proofErr w:type="gramEnd"/>
      <w:r w:rsidRPr="00743F37">
        <w:rPr>
          <w:lang w:val="vi-VN" w:eastAsia="vi-VN"/>
        </w:rPr>
        <w:t xml:space="preserve">. </w:t>
      </w:r>
      <w:r>
        <w:rPr>
          <w:lang w:eastAsia="vi-VN"/>
        </w:rPr>
        <w:t>N</w:t>
      </w:r>
      <w:r w:rsidRPr="00743F37">
        <w:rPr>
          <w:lang w:val="vi-VN" w:eastAsia="vi-VN"/>
        </w:rPr>
        <w:t>ational</w:t>
      </w:r>
      <w:r>
        <w:rPr>
          <w:lang w:eastAsia="vi-VN"/>
        </w:rPr>
        <w:t>/domestic</w:t>
      </w:r>
      <w:r w:rsidRPr="00743F37">
        <w:rPr>
          <w:lang w:val="vi-VN" w:eastAsia="vi-VN"/>
        </w:rPr>
        <w:t xml:space="preserve"> roaming refers to roaming agreements in the national</w:t>
      </w:r>
      <w:r>
        <w:rPr>
          <w:lang w:eastAsia="vi-VN"/>
        </w:rPr>
        <w:t>/domestic</w:t>
      </w:r>
      <w:r w:rsidRPr="00743F37">
        <w:rPr>
          <w:lang w:val="vi-VN" w:eastAsia="vi-VN"/>
        </w:rPr>
        <w:t xml:space="preserve"> context. For </w:t>
      </w:r>
      <w:r w:rsidRPr="00BE075C">
        <w:rPr>
          <w:lang w:val="vi-VN" w:eastAsia="vi-VN"/>
        </w:rPr>
        <w:t xml:space="preserve">example, </w:t>
      </w:r>
      <w:r w:rsidRPr="00BE075C">
        <w:rPr>
          <w:lang w:eastAsia="vi-VN"/>
        </w:rPr>
        <w:t>national roaming,</w:t>
      </w:r>
      <w:r>
        <w:rPr>
          <w:lang w:eastAsia="vi-VN"/>
        </w:rPr>
        <w:t xml:space="preserve"> </w:t>
      </w:r>
      <w:r w:rsidRPr="00743F37">
        <w:rPr>
          <w:lang w:val="vi-VN" w:eastAsia="vi-VN"/>
        </w:rPr>
        <w:t xml:space="preserve">a subscriber from </w:t>
      </w:r>
      <w:r w:rsidR="00BC4418">
        <w:rPr>
          <w:rFonts w:eastAsia="MS Mincho" w:hint="eastAsia"/>
          <w:lang w:val="vi-VN" w:eastAsia="ja-JP"/>
        </w:rPr>
        <w:t xml:space="preserve">MNO A </w:t>
      </w:r>
      <w:r w:rsidRPr="00743F37">
        <w:rPr>
          <w:lang w:val="vi-VN" w:eastAsia="vi-VN"/>
        </w:rPr>
        <w:t xml:space="preserve">may roam into </w:t>
      </w:r>
      <w:r w:rsidR="00BC4418">
        <w:rPr>
          <w:rFonts w:eastAsia="MS Mincho" w:hint="eastAsia"/>
          <w:lang w:val="vi-VN" w:eastAsia="ja-JP"/>
        </w:rPr>
        <w:t>MNO B</w:t>
      </w:r>
      <w:r w:rsidR="00BC4418">
        <w:rPr>
          <w:rFonts w:eastAsia="MS Mincho"/>
          <w:lang w:val="vi-VN" w:eastAsia="ja-JP"/>
        </w:rPr>
        <w:t>’</w:t>
      </w:r>
      <w:r w:rsidRPr="00743F37">
        <w:rPr>
          <w:lang w:val="vi-VN" w:eastAsia="vi-VN"/>
        </w:rPr>
        <w:t xml:space="preserve">s network when entering into non-overlapping coverage provided by </w:t>
      </w:r>
      <w:r w:rsidR="00902E9F">
        <w:rPr>
          <w:rFonts w:eastAsia="MS Mincho" w:hint="eastAsia"/>
          <w:lang w:val="vi-VN" w:eastAsia="ja-JP"/>
        </w:rPr>
        <w:t xml:space="preserve">MNO B </w:t>
      </w:r>
      <w:r w:rsidRPr="00743F37">
        <w:rPr>
          <w:lang w:val="vi-VN" w:eastAsia="vi-VN"/>
        </w:rPr>
        <w:t>and vice versa. This type of sharing enables cost saving comparable to or greater than core network sharing. However, national roaming comes with complexity (e.g., when to choose home network over visited network has given signal strength) and there can be regulatory issues where regulators may be concerned with reduced competition.</w:t>
      </w:r>
    </w:p>
    <w:p w14:paraId="41152A6F" w14:textId="77777777" w:rsidR="005A2C76" w:rsidRPr="00743F37" w:rsidRDefault="005A2C76" w:rsidP="00630F7B">
      <w:pPr>
        <w:rPr>
          <w:lang w:val="vi-VN" w:eastAsia="vi-VN"/>
        </w:rPr>
      </w:pPr>
      <w:r w:rsidRPr="00743F37">
        <w:rPr>
          <w:noProof/>
          <w:lang w:val="en-GB" w:eastAsia="en-GB"/>
        </w:rPr>
        <w:lastRenderedPageBreak/>
        <w:drawing>
          <wp:inline distT="0" distB="0" distL="0" distR="0" wp14:anchorId="196CDDCC" wp14:editId="0085A571">
            <wp:extent cx="5684520" cy="566994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019" cy="5674431"/>
                    </a:xfrm>
                    <a:prstGeom prst="rect">
                      <a:avLst/>
                    </a:prstGeom>
                    <a:noFill/>
                    <a:ln>
                      <a:noFill/>
                    </a:ln>
                  </pic:spPr>
                </pic:pic>
              </a:graphicData>
            </a:graphic>
          </wp:inline>
        </w:drawing>
      </w:r>
    </w:p>
    <w:p w14:paraId="6409CE32" w14:textId="77777777" w:rsidR="005A2C76" w:rsidRPr="001A15B2" w:rsidRDefault="005A2C76" w:rsidP="00753E5C">
      <w:pPr>
        <w:jc w:val="center"/>
        <w:rPr>
          <w:lang w:eastAsia="vi-VN"/>
        </w:rPr>
      </w:pPr>
      <w:r w:rsidRPr="00743F37">
        <w:rPr>
          <w:lang w:val="vi-VN" w:eastAsia="vi-VN"/>
        </w:rPr>
        <w:t>Comparison of infrastructure sharing forms (technology)</w:t>
      </w:r>
      <w:r>
        <w:rPr>
          <w:lang w:eastAsia="vi-VN"/>
        </w:rPr>
        <w:t>(Source: GSMA)</w:t>
      </w:r>
    </w:p>
    <w:p w14:paraId="67384740" w14:textId="77777777" w:rsidR="005A2C76" w:rsidRPr="00630F7B" w:rsidRDefault="00A05845" w:rsidP="00753E5C">
      <w:pPr>
        <w:pStyle w:val="Heading2"/>
        <w:spacing w:after="120"/>
      </w:pPr>
      <w:r>
        <w:rPr>
          <w:rFonts w:eastAsia="MS Mincho" w:hint="eastAsia"/>
          <w:lang w:eastAsia="ja-JP"/>
        </w:rPr>
        <w:t xml:space="preserve"> </w:t>
      </w:r>
      <w:r w:rsidR="005A2C76" w:rsidRPr="00630F7B">
        <w:t>MVNO - Mobile Virtual Network Operators</w:t>
      </w:r>
    </w:p>
    <w:p w14:paraId="75126273" w14:textId="74ABAB94" w:rsidR="005A2C76" w:rsidRPr="001A15B2" w:rsidRDefault="005A2C76" w:rsidP="00753E5C">
      <w:r>
        <w:t>Mobile Virtual Network Operator</w:t>
      </w:r>
      <w:r w:rsidR="0015364E">
        <w:rPr>
          <w:rFonts w:eastAsia="MS Mincho" w:hint="eastAsia"/>
          <w:lang w:eastAsia="ja-JP"/>
        </w:rPr>
        <w:t xml:space="preserve"> </w:t>
      </w:r>
      <w:r>
        <w:t xml:space="preserve">(MVNO) business is </w:t>
      </w:r>
      <w:r w:rsidR="0015364E">
        <w:rPr>
          <w:rFonts w:eastAsia="MS Mincho" w:hint="eastAsia"/>
          <w:lang w:eastAsia="ja-JP"/>
        </w:rPr>
        <w:t xml:space="preserve">a </w:t>
      </w:r>
      <w:r>
        <w:t xml:space="preserve">growing trend today and a very lucrative opportunity in mobile telecommunications. </w:t>
      </w:r>
      <w:r w:rsidR="00161397">
        <w:t>MVNO</w:t>
      </w:r>
      <w:r>
        <w:t xml:space="preserve"> provides wireless communication services without the full infrastructure or license to use radio frequencies. It provides wireless communications with agreements already in place with MNOs. These </w:t>
      </w:r>
      <w:r w:rsidR="009744CB">
        <w:rPr>
          <w:rFonts w:eastAsia="MS Mincho" w:hint="eastAsia"/>
          <w:lang w:eastAsia="ja-JP"/>
        </w:rPr>
        <w:t>MVNO</w:t>
      </w:r>
      <w:r w:rsidR="009744CB">
        <w:t xml:space="preserve">s </w:t>
      </w:r>
      <w:r>
        <w:t>obtain bulk access to mobile communications networks for their consumers at set retail and wholesale prices.</w:t>
      </w:r>
    </w:p>
    <w:p w14:paraId="5D57CDD0" w14:textId="77777777" w:rsidR="005A2C76" w:rsidRPr="00546AE1" w:rsidRDefault="005A2C76" w:rsidP="00753E5C">
      <w:pPr>
        <w:rPr>
          <w:b/>
          <w:bCs/>
          <w:lang w:val="vi-VN" w:eastAsia="vi-VN"/>
        </w:rPr>
      </w:pPr>
      <w:r w:rsidRPr="00546AE1">
        <w:rPr>
          <w:b/>
          <w:bCs/>
          <w:lang w:val="vi-VN" w:eastAsia="vi-VN"/>
        </w:rPr>
        <w:t>MVNO business models</w:t>
      </w:r>
    </w:p>
    <w:p w14:paraId="0C7F7E1B" w14:textId="77777777" w:rsidR="005A2C76" w:rsidRPr="00EF182E" w:rsidRDefault="005A2C76" w:rsidP="00C36945">
      <w:pPr>
        <w:rPr>
          <w:lang w:val="vi-VN" w:eastAsia="vi-VN"/>
        </w:rPr>
      </w:pPr>
      <w:r w:rsidRPr="00EF182E">
        <w:rPr>
          <w:lang w:val="vi-VN" w:eastAsia="vi-VN"/>
        </w:rPr>
        <w:t>MNOs are realizing the significance of MVNO partners to reach out to niche audiences with unique needs using suitable low cost business models &amp; pricing strategies. As a result, MVNOs are fast emerging across segments such as telecom, roaming, retail, media, business, discount, lifestyle, and M2M.</w:t>
      </w:r>
    </w:p>
    <w:p w14:paraId="1215879C" w14:textId="37FB6D74" w:rsidR="005A2C76" w:rsidRPr="00EF182E" w:rsidRDefault="005A2C76" w:rsidP="00C36945">
      <w:pPr>
        <w:rPr>
          <w:lang w:val="vi-VN" w:eastAsia="vi-VN"/>
        </w:rPr>
      </w:pPr>
      <w:r w:rsidRPr="00EF182E">
        <w:rPr>
          <w:lang w:val="vi-VN" w:eastAsia="vi-VN"/>
        </w:rPr>
        <w:t>The different business models in the MVNO market are based on how the value chain is restructured. Therefore, four main business models that e</w:t>
      </w:r>
      <w:r w:rsidRPr="00D15172">
        <w:rPr>
          <w:lang w:val="vi-VN" w:eastAsia="vi-VN"/>
        </w:rPr>
        <w:t>merge are: Branded Reseller, Light-MVNO</w:t>
      </w:r>
      <w:r w:rsidR="005B3162">
        <w:rPr>
          <w:rFonts w:eastAsia="MS Mincho" w:hint="eastAsia"/>
          <w:lang w:val="vi-VN" w:eastAsia="ja-JP"/>
        </w:rPr>
        <w:t xml:space="preserve"> </w:t>
      </w:r>
      <w:r w:rsidRPr="00D15172">
        <w:rPr>
          <w:lang w:val="vi-VN" w:eastAsia="vi-VN"/>
        </w:rPr>
        <w:t>(with HSS/HLR,BOSS), Full-MVNO</w:t>
      </w:r>
      <w:r w:rsidR="005B3162">
        <w:rPr>
          <w:rFonts w:eastAsia="MS Mincho" w:hint="eastAsia"/>
          <w:lang w:val="vi-VN" w:eastAsia="ja-JP"/>
        </w:rPr>
        <w:t xml:space="preserve"> </w:t>
      </w:r>
      <w:r w:rsidRPr="00D15172">
        <w:rPr>
          <w:lang w:val="vi-VN" w:eastAsia="vi-VN"/>
        </w:rPr>
        <w:t xml:space="preserve">(with more like, STP, DRA, GTP-Router, </w:t>
      </w:r>
      <w:r w:rsidRPr="00D15172">
        <w:rPr>
          <w:lang w:val="vi-VN" w:eastAsia="vi-VN"/>
        </w:rPr>
        <w:lastRenderedPageBreak/>
        <w:t>PGW/GGSN, PCRF, SMSC/USSD GW) and MVNE</w:t>
      </w:r>
      <w:r w:rsidR="00F62E65">
        <w:rPr>
          <w:rFonts w:eastAsia="MS Mincho" w:hint="eastAsia"/>
          <w:lang w:val="vi-VN" w:eastAsia="ja-JP"/>
        </w:rPr>
        <w:t xml:space="preserve"> </w:t>
      </w:r>
      <w:r w:rsidRPr="00D15172">
        <w:rPr>
          <w:lang w:val="vi-VN" w:eastAsia="vi-VN"/>
        </w:rPr>
        <w:t>(with mor</w:t>
      </w:r>
      <w:r w:rsidRPr="00EF182E">
        <w:rPr>
          <w:lang w:val="vi-VN" w:eastAsia="vi-VN"/>
        </w:rPr>
        <w:t>e like MME, SGW, SGSN, MSC, GMSC).</w:t>
      </w:r>
    </w:p>
    <w:p w14:paraId="5F002F2E" w14:textId="77777777" w:rsidR="005A2C76" w:rsidRDefault="005A2C76" w:rsidP="00C36945">
      <w:r w:rsidRPr="00701D78">
        <w:rPr>
          <w:noProof/>
          <w:lang w:val="en-GB" w:eastAsia="en-GB"/>
        </w:rPr>
        <w:drawing>
          <wp:inline distT="0" distB="0" distL="0" distR="0" wp14:anchorId="22289AB9" wp14:editId="0AC4674E">
            <wp:extent cx="5824855" cy="34658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4855" cy="3465830"/>
                    </a:xfrm>
                    <a:prstGeom prst="rect">
                      <a:avLst/>
                    </a:prstGeom>
                  </pic:spPr>
                </pic:pic>
              </a:graphicData>
            </a:graphic>
          </wp:inline>
        </w:drawing>
      </w:r>
    </w:p>
    <w:p w14:paraId="251EEACE" w14:textId="77777777" w:rsidR="005A2C76" w:rsidRPr="000C4281" w:rsidRDefault="005A2C76" w:rsidP="00C36945">
      <w:pPr>
        <w:jc w:val="center"/>
        <w:rPr>
          <w:lang w:val="vi-VN" w:eastAsia="vi-VN"/>
        </w:rPr>
      </w:pPr>
      <w:r w:rsidRPr="001A15B2">
        <w:rPr>
          <w:lang w:val="vi-VN" w:eastAsia="vi-VN"/>
        </w:rPr>
        <w:t>MVNO business models</w:t>
      </w:r>
      <w:r w:rsidRPr="001A15B2">
        <w:rPr>
          <w:lang w:eastAsia="vi-VN"/>
        </w:rPr>
        <w:t xml:space="preserve"> (Source: IPLOOK)</w:t>
      </w:r>
    </w:p>
    <w:p w14:paraId="2E229450" w14:textId="77777777" w:rsidR="005A2C76" w:rsidRPr="00EF182E" w:rsidRDefault="005A2C76" w:rsidP="00C36945">
      <w:pPr>
        <w:ind w:leftChars="100" w:left="240"/>
        <w:rPr>
          <w:rFonts w:eastAsia="Times New Roman"/>
        </w:rPr>
      </w:pPr>
      <w:r w:rsidRPr="00EF182E">
        <w:rPr>
          <w:rStyle w:val="Strong"/>
          <w:b w:val="0"/>
          <w:bCs w:val="0"/>
          <w:i/>
          <w:iCs/>
        </w:rPr>
        <w:t>Branded reseller</w:t>
      </w:r>
    </w:p>
    <w:p w14:paraId="7FA092BB" w14:textId="3F6AD2FE" w:rsidR="005A2C76" w:rsidRPr="00EF182E" w:rsidRDefault="005A2C76" w:rsidP="00C36945">
      <w:pPr>
        <w:pStyle w:val="Default"/>
        <w:snapToGrid w:val="0"/>
        <w:spacing w:afterLines="50" w:after="120"/>
        <w:ind w:leftChars="200" w:left="480"/>
        <w:jc w:val="both"/>
      </w:pPr>
      <w:r w:rsidRPr="00EF182E">
        <w:t xml:space="preserve">Branded reseller is the lightest MVNO business model, where the venture just provides its brand and, sometimes, its distribution channels. While the MNO provides the rest of the business, from access network to the definition of the mobile service offer. This is the model that requires the lowest investment for a new venture, therefore the fastest to implement. However, most of the business </w:t>
      </w:r>
      <w:proofErr w:type="gramStart"/>
      <w:r w:rsidRPr="00EF182E">
        <w:t>levers</w:t>
      </w:r>
      <w:proofErr w:type="gramEnd"/>
      <w:r w:rsidRPr="00EF182E">
        <w:t xml:space="preserve"> remain with the network provider (MNO or MVNE). Therefore, the new venture has a very limited control of the business </w:t>
      </w:r>
      <w:proofErr w:type="gramStart"/>
      <w:r w:rsidRPr="00EF182E">
        <w:t>levers</w:t>
      </w:r>
      <w:proofErr w:type="gramEnd"/>
      <w:r w:rsidRPr="00EF182E">
        <w:t xml:space="preserve"> and value proposition of the service.</w:t>
      </w:r>
    </w:p>
    <w:p w14:paraId="4E2A0FB0" w14:textId="77777777" w:rsidR="005A2C76" w:rsidRPr="00EF182E" w:rsidRDefault="005A2C76" w:rsidP="00C36945">
      <w:pPr>
        <w:ind w:leftChars="100" w:left="240"/>
        <w:rPr>
          <w:rFonts w:eastAsia="Times New Roman"/>
        </w:rPr>
      </w:pPr>
      <w:r w:rsidRPr="00EF182E">
        <w:rPr>
          <w:rStyle w:val="Strong"/>
          <w:b w:val="0"/>
          <w:bCs w:val="0"/>
          <w:i/>
          <w:iCs/>
        </w:rPr>
        <w:t xml:space="preserve">Light-MVNO </w:t>
      </w:r>
    </w:p>
    <w:p w14:paraId="3EA8A13D" w14:textId="77777777" w:rsidR="005A2C76" w:rsidRPr="00EF182E" w:rsidRDefault="005A2C76" w:rsidP="00C36945">
      <w:pPr>
        <w:pStyle w:val="Default"/>
        <w:snapToGrid w:val="0"/>
        <w:spacing w:afterLines="50" w:after="120"/>
        <w:ind w:leftChars="200" w:left="480"/>
        <w:jc w:val="both"/>
      </w:pPr>
      <w:r w:rsidRPr="00EF182E">
        <w:t>Light-MVNO is an intermediate model between a branded reseller and a full-MVNO. This model allows new ventures to take control of the marketing and sales areas and, in some cases, increase the level of control over the core network, back-office processes and valued-added services definition and operations.</w:t>
      </w:r>
    </w:p>
    <w:p w14:paraId="663E73E1" w14:textId="77777777" w:rsidR="005A2C76" w:rsidRPr="00EF182E" w:rsidRDefault="005A2C76" w:rsidP="00C36945">
      <w:pPr>
        <w:ind w:leftChars="100" w:left="240"/>
        <w:rPr>
          <w:rFonts w:eastAsia="Times New Roman"/>
        </w:rPr>
      </w:pPr>
      <w:r w:rsidRPr="00EF182E">
        <w:rPr>
          <w:rStyle w:val="Strong"/>
          <w:b w:val="0"/>
          <w:bCs w:val="0"/>
          <w:i/>
          <w:iCs/>
        </w:rPr>
        <w:t xml:space="preserve">Full-MVNO </w:t>
      </w:r>
    </w:p>
    <w:p w14:paraId="04F06CF6" w14:textId="0168041F" w:rsidR="005A2C76" w:rsidRPr="00EF182E" w:rsidRDefault="005A2C76" w:rsidP="00C36945">
      <w:pPr>
        <w:pStyle w:val="Default"/>
        <w:snapToGrid w:val="0"/>
        <w:spacing w:afterLines="50" w:after="120"/>
        <w:ind w:leftChars="200" w:left="480"/>
        <w:jc w:val="both"/>
      </w:pPr>
      <w:r w:rsidRPr="00EF182E">
        <w:t xml:space="preserve">Full-MVNO is the most complete model for a new venture, where </w:t>
      </w:r>
      <w:r w:rsidR="00335853">
        <w:rPr>
          <w:rFonts w:eastAsia="MS Mincho" w:hint="eastAsia"/>
          <w:lang w:eastAsia="ja-JP"/>
        </w:rPr>
        <w:t>MNO</w:t>
      </w:r>
      <w:r w:rsidRPr="00EF182E">
        <w:t xml:space="preserve"> just provides the access network infrastructure and part of the core network, while the new venture provides the rest of the elements of the value chain. This MVNO business model is typically adopted by telecom players that could gain synergies from their current business operation.</w:t>
      </w:r>
    </w:p>
    <w:p w14:paraId="1690D444" w14:textId="77777777" w:rsidR="005A2C76" w:rsidRPr="00EF182E" w:rsidRDefault="005A2C76" w:rsidP="00C36945">
      <w:pPr>
        <w:ind w:leftChars="100" w:left="240"/>
        <w:rPr>
          <w:rFonts w:eastAsia="Times New Roman"/>
        </w:rPr>
      </w:pPr>
      <w:r w:rsidRPr="00EF182E">
        <w:rPr>
          <w:rStyle w:val="Strong"/>
          <w:b w:val="0"/>
          <w:bCs w:val="0"/>
          <w:i/>
          <w:iCs/>
        </w:rPr>
        <w:t>Network enablers</w:t>
      </w:r>
    </w:p>
    <w:p w14:paraId="4D2BDF56" w14:textId="77777777" w:rsidR="004F1BE2" w:rsidRDefault="005A2C76" w:rsidP="00C36945">
      <w:pPr>
        <w:pStyle w:val="Default"/>
        <w:snapToGrid w:val="0"/>
        <w:spacing w:afterLines="50" w:after="120"/>
        <w:ind w:leftChars="200" w:left="480"/>
        <w:jc w:val="both"/>
      </w:pPr>
      <w:r w:rsidRPr="00EF182E">
        <w:t>Network enablers, typically known as Mobile Virtual Network Enablers (MVNE)</w:t>
      </w:r>
      <w:proofErr w:type="gramStart"/>
      <w:r w:rsidRPr="00EF182E">
        <w:t>, this</w:t>
      </w:r>
      <w:proofErr w:type="gramEnd"/>
      <w:r w:rsidRPr="00EF182E">
        <w:t xml:space="preserve"> is a third</w:t>
      </w:r>
      <w:r w:rsidR="00546AE1">
        <w:t>-</w:t>
      </w:r>
      <w:r w:rsidRPr="00EF182E">
        <w:t xml:space="preserve">party provider focused on the provision of infrastructure that facilitate the launch of MVNO operations. An MVNE can be positioned between a host MNO and an MVNO venture to provide services ranging from value added services and back office processes to </w:t>
      </w:r>
      <w:r w:rsidRPr="00EF182E">
        <w:lastRenderedPageBreak/>
        <w:t>offer definition. MVNEs reduce the entry barriers of MVNO ventures, given that an MVNE aggregates the demand of small players to negotiate better terms and conditions with host MNO. They pass on some of these benefits to their MVNO partners. Moreover, the all-in-a-box approach to launch an MVNO through a MVNE has accelerated, even more, the explosion of the MVNO market.</w:t>
      </w:r>
    </w:p>
    <w:p w14:paraId="2723CDA5" w14:textId="77777777" w:rsidR="001B47A7" w:rsidRPr="00DF1BC5" w:rsidRDefault="00A05845" w:rsidP="00DF1BC5">
      <w:pPr>
        <w:pStyle w:val="Heading2"/>
        <w:spacing w:after="120"/>
      </w:pPr>
      <w:r>
        <w:rPr>
          <w:rFonts w:eastAsia="MS Mincho" w:hint="eastAsia"/>
          <w:lang w:eastAsia="ja-JP"/>
        </w:rPr>
        <w:t xml:space="preserve"> </w:t>
      </w:r>
      <w:r w:rsidR="001B47A7" w:rsidRPr="00DF1BC5">
        <w:t>Spe</w:t>
      </w:r>
      <w:r w:rsidR="00DF1BC5">
        <w:rPr>
          <w:rFonts w:eastAsia="MS Mincho" w:hint="eastAsia"/>
          <w:lang w:eastAsia="ja-JP"/>
        </w:rPr>
        <w:t>c</w:t>
      </w:r>
      <w:r w:rsidR="00DF1BC5">
        <w:rPr>
          <w:rFonts w:eastAsia="MS Mincho"/>
          <w:lang w:eastAsia="ja-JP"/>
        </w:rPr>
        <w:t>t</w:t>
      </w:r>
      <w:r w:rsidR="001B47A7" w:rsidRPr="00DF1BC5">
        <w:t>rum leasing</w:t>
      </w:r>
    </w:p>
    <w:p w14:paraId="2394FFE5" w14:textId="62353642" w:rsidR="00D7399D" w:rsidRDefault="001B47A7" w:rsidP="00DF1BC5">
      <w:pPr>
        <w:rPr>
          <w:lang w:eastAsia="ko-KR"/>
        </w:rPr>
      </w:pPr>
      <w:r w:rsidRPr="00DF1BC5">
        <w:rPr>
          <w:lang w:eastAsia="ko-KR"/>
        </w:rPr>
        <w:t xml:space="preserve">Spectrum leasing is another form of sharing. In a spectrum leasing model, licensed bands that have already been assigned to an </w:t>
      </w:r>
      <w:r w:rsidR="00A76060">
        <w:rPr>
          <w:rFonts w:eastAsia="MS Mincho" w:hint="eastAsia"/>
          <w:lang w:eastAsia="ja-JP"/>
        </w:rPr>
        <w:t xml:space="preserve">MNO </w:t>
      </w:r>
      <w:r w:rsidRPr="00DF1BC5">
        <w:rPr>
          <w:lang w:eastAsia="ko-KR"/>
        </w:rPr>
        <w:t>on an exclusive basis can be rente</w:t>
      </w:r>
      <w:r w:rsidRPr="00D63DF2">
        <w:rPr>
          <w:lang w:eastAsia="ko-KR"/>
        </w:rPr>
        <w:t xml:space="preserve">d </w:t>
      </w:r>
      <w:r w:rsidR="003A4153" w:rsidRPr="00D63DF2">
        <w:rPr>
          <w:lang w:eastAsia="ko-KR"/>
        </w:rPr>
        <w:t>to</w:t>
      </w:r>
      <w:r w:rsidRPr="00DF1BC5">
        <w:rPr>
          <w:lang w:eastAsia="ko-KR"/>
        </w:rPr>
        <w:t xml:space="preserve"> another </w:t>
      </w:r>
      <w:r w:rsidR="00A76060">
        <w:rPr>
          <w:rFonts w:eastAsia="MS Mincho" w:hint="eastAsia"/>
          <w:lang w:eastAsia="ja-JP"/>
        </w:rPr>
        <w:t>MNO</w:t>
      </w:r>
      <w:r w:rsidRPr="00DF1BC5">
        <w:rPr>
          <w:lang w:eastAsia="ko-KR"/>
        </w:rPr>
        <w:t xml:space="preserve">. Spectrum leasing typically involves a partial transfer of a licensee’s rights to spectrum to another </w:t>
      </w:r>
      <w:r w:rsidR="00A76060">
        <w:rPr>
          <w:rFonts w:eastAsia="MS Mincho" w:hint="eastAsia"/>
          <w:lang w:eastAsia="ja-JP"/>
        </w:rPr>
        <w:t>MNO</w:t>
      </w:r>
      <w:r w:rsidR="00A76060" w:rsidRPr="00DF1BC5">
        <w:rPr>
          <w:lang w:eastAsia="ko-KR"/>
        </w:rPr>
        <w:t xml:space="preserve"> </w:t>
      </w:r>
      <w:r w:rsidRPr="00DF1BC5">
        <w:rPr>
          <w:lang w:eastAsia="ko-KR"/>
        </w:rPr>
        <w:t xml:space="preserve">for a limited period and/or for a portion of the spectrum included in the </w:t>
      </w:r>
      <w:proofErr w:type="spellStart"/>
      <w:r w:rsidRPr="00DF1BC5">
        <w:rPr>
          <w:lang w:eastAsia="ko-KR"/>
        </w:rPr>
        <w:t>licence</w:t>
      </w:r>
      <w:proofErr w:type="spellEnd"/>
      <w:r w:rsidRPr="00DF1BC5">
        <w:rPr>
          <w:lang w:eastAsia="ko-KR"/>
        </w:rPr>
        <w:t xml:space="preserve">. Spectrum leasing (as well as other secondary market transactions) is often subject to regulatory approval. In general, stakeholders taking part in such transactions can be </w:t>
      </w:r>
      <w:r w:rsidR="00612D3D">
        <w:rPr>
          <w:rFonts w:eastAsia="MS Mincho" w:hint="eastAsia"/>
          <w:lang w:eastAsia="ja-JP"/>
        </w:rPr>
        <w:t>MNO</w:t>
      </w:r>
      <w:r w:rsidRPr="00DF1BC5">
        <w:rPr>
          <w:lang w:eastAsia="ko-KR"/>
        </w:rPr>
        <w:t xml:space="preserve">s or other companies that have a spectrum </w:t>
      </w:r>
      <w:proofErr w:type="spellStart"/>
      <w:r w:rsidRPr="00DF1BC5">
        <w:rPr>
          <w:lang w:eastAsia="ko-KR"/>
        </w:rPr>
        <w:t>licence</w:t>
      </w:r>
      <w:proofErr w:type="spellEnd"/>
      <w:r w:rsidRPr="00DF1BC5">
        <w:rPr>
          <w:lang w:eastAsia="ko-KR"/>
        </w:rPr>
        <w:t xml:space="preserve"> on one side, and a party such as another </w:t>
      </w:r>
      <w:r w:rsidR="0098231A">
        <w:rPr>
          <w:rFonts w:eastAsia="MS Mincho" w:hint="eastAsia"/>
          <w:lang w:eastAsia="ja-JP"/>
        </w:rPr>
        <w:t>MNO</w:t>
      </w:r>
      <w:r w:rsidRPr="00DF1BC5">
        <w:rPr>
          <w:lang w:eastAsia="ko-KR"/>
        </w:rPr>
        <w:t xml:space="preserve"> or other entity requiring access to spectrum on the other side.</w:t>
      </w:r>
    </w:p>
    <w:p w14:paraId="2629BC93" w14:textId="4F94841D" w:rsidR="00F82E13" w:rsidRDefault="00F82E13" w:rsidP="00630F7B">
      <w:pPr>
        <w:pStyle w:val="Heading1"/>
        <w:spacing w:after="120"/>
      </w:pPr>
      <w:r w:rsidRPr="00B97728">
        <w:t xml:space="preserve">Regulations for </w:t>
      </w:r>
      <w:r>
        <w:t>RAN</w:t>
      </w:r>
      <w:r w:rsidR="0017507D">
        <w:rPr>
          <w:rFonts w:eastAsia="MS Mincho" w:hint="eastAsia"/>
          <w:lang w:eastAsia="ja-JP"/>
        </w:rPr>
        <w:t xml:space="preserve"> and </w:t>
      </w:r>
      <w:r>
        <w:t xml:space="preserve">spectrum </w:t>
      </w:r>
      <w:r w:rsidR="00507E6E">
        <w:rPr>
          <w:rFonts w:eastAsia="MS Mincho" w:hint="eastAsia"/>
          <w:lang w:eastAsia="ja-JP"/>
        </w:rPr>
        <w:t>s</w:t>
      </w:r>
      <w:r w:rsidRPr="00B97728">
        <w:t>haring</w:t>
      </w:r>
      <w:r>
        <w:t xml:space="preserve"> in IMT </w:t>
      </w:r>
      <w:r w:rsidR="009D1097">
        <w:rPr>
          <w:rFonts w:eastAsia="MS Mincho" w:hint="eastAsia"/>
          <w:lang w:eastAsia="ja-JP"/>
        </w:rPr>
        <w:t xml:space="preserve">networks </w:t>
      </w:r>
      <w:r>
        <w:t>among MNOs</w:t>
      </w:r>
      <w:r w:rsidRPr="00B97728">
        <w:t xml:space="preserve"> </w:t>
      </w:r>
    </w:p>
    <w:p w14:paraId="419982C8" w14:textId="5DB8E744" w:rsidR="00A2245E" w:rsidRDefault="006E7B73" w:rsidP="00A2245E">
      <w:pPr>
        <w:rPr>
          <w:rFonts w:eastAsia="MS Mincho"/>
          <w:lang w:eastAsia="ja-JP"/>
        </w:rPr>
      </w:pPr>
      <w:r w:rsidRPr="00B81DD2">
        <w:t xml:space="preserve">Effective regulatory frameworks are essential for facilitating RAN and spectrum sharing </w:t>
      </w:r>
      <w:r w:rsidR="00AC567E" w:rsidRPr="00B81DD2">
        <w:t xml:space="preserve">to establish </w:t>
      </w:r>
      <w:r w:rsidRPr="00B81DD2">
        <w:t>a healthy, competitive, and innovative telecommunications market.</w:t>
      </w:r>
      <w:r w:rsidRPr="00CF0755">
        <w:t xml:space="preserve"> </w:t>
      </w:r>
      <w:r w:rsidR="00A2245E" w:rsidRPr="00DF1BC5">
        <w:t xml:space="preserve">When MNOs engage in RAN </w:t>
      </w:r>
      <w:r w:rsidR="0036653D">
        <w:t xml:space="preserve">or spectrum </w:t>
      </w:r>
      <w:r w:rsidR="00A2245E" w:rsidRPr="00DF1BC5">
        <w:t>sharing in IMT</w:t>
      </w:r>
      <w:r w:rsidR="009D1097">
        <w:rPr>
          <w:rFonts w:eastAsia="MS Mincho" w:hint="eastAsia"/>
          <w:lang w:eastAsia="ja-JP"/>
        </w:rPr>
        <w:t xml:space="preserve"> networks</w:t>
      </w:r>
      <w:r w:rsidR="00A2245E" w:rsidRPr="00DF1BC5">
        <w:t xml:space="preserve">, regulatory frameworks </w:t>
      </w:r>
      <w:r w:rsidR="00C90D55">
        <w:rPr>
          <w:rFonts w:eastAsia="MS Mincho" w:hint="eastAsia"/>
          <w:lang w:eastAsia="ja-JP"/>
        </w:rPr>
        <w:t xml:space="preserve">should </w:t>
      </w:r>
      <w:r w:rsidR="00A2245E" w:rsidRPr="00DF1BC5">
        <w:t xml:space="preserve">balance competition, fair market practices, and technical efficiency. Below are </w:t>
      </w:r>
      <w:r w:rsidR="00AC567E">
        <w:t xml:space="preserve">some </w:t>
      </w:r>
      <w:r w:rsidR="00A2245E" w:rsidRPr="00DF1BC5">
        <w:t>key considerations:</w:t>
      </w:r>
    </w:p>
    <w:p w14:paraId="1394DABC" w14:textId="5917B1CA" w:rsidR="00877AD8" w:rsidRDefault="00810351" w:rsidP="00780463">
      <w:pPr>
        <w:pStyle w:val="Heading2"/>
        <w:spacing w:after="120"/>
      </w:pPr>
      <w:r>
        <w:t xml:space="preserve"> </w:t>
      </w:r>
      <w:r w:rsidR="00A2245E" w:rsidRPr="00DF1BC5">
        <w:t xml:space="preserve">Ensuring </w:t>
      </w:r>
      <w:r w:rsidR="003243FD">
        <w:t xml:space="preserve">a balance between </w:t>
      </w:r>
      <w:r w:rsidR="00E75AC8">
        <w:t>h</w:t>
      </w:r>
      <w:r w:rsidR="00A2245E" w:rsidRPr="00DF1BC5">
        <w:t xml:space="preserve">ealthy </w:t>
      </w:r>
      <w:r w:rsidR="00E75AC8">
        <w:t>c</w:t>
      </w:r>
      <w:r w:rsidR="00A2245E" w:rsidRPr="00DF1BC5">
        <w:t>ompetition</w:t>
      </w:r>
      <w:r w:rsidR="003243FD">
        <w:t xml:space="preserve"> and sharing benefits</w:t>
      </w:r>
    </w:p>
    <w:p w14:paraId="77C9ED72" w14:textId="33C1D12E" w:rsidR="00AC567E" w:rsidRDefault="00A2245E" w:rsidP="00A2245E">
      <w:r w:rsidRPr="00DF1BC5">
        <w:t xml:space="preserve">Spectrum </w:t>
      </w:r>
      <w:r w:rsidR="00F445D1">
        <w:rPr>
          <w:rFonts w:eastAsia="MS Mincho" w:hint="eastAsia"/>
          <w:lang w:eastAsia="ja-JP"/>
        </w:rPr>
        <w:t>cap</w:t>
      </w:r>
      <w:r w:rsidR="00D15172" w:rsidRPr="00DF1BC5">
        <w:t>s</w:t>
      </w:r>
      <w:r w:rsidRPr="00DF1BC5">
        <w:t xml:space="preserve"> limit the amount of spectrum any single MNO can hold. </w:t>
      </w:r>
      <w:r w:rsidR="00AC567E" w:rsidRPr="00AC567E">
        <w:t>They are typically applied during spectrum awards to prevent market dominance and ensure equitable access to spectrum resources</w:t>
      </w:r>
      <w:r w:rsidR="00AC567E">
        <w:t xml:space="preserve">. </w:t>
      </w:r>
      <w:r w:rsidR="00AC567E" w:rsidRPr="00AC567E">
        <w:t xml:space="preserve">However, their application to post-award RAN or spectrum sharing should be approached cautiously. Regulators may reassess caps on a case-by-case basis, </w:t>
      </w:r>
      <w:proofErr w:type="gramStart"/>
      <w:r w:rsidR="00AC567E" w:rsidRPr="00AC567E">
        <w:t>taking into account</w:t>
      </w:r>
      <w:proofErr w:type="gramEnd"/>
      <w:r w:rsidR="00AC567E" w:rsidRPr="00AC567E">
        <w:t xml:space="preserve"> the specific nature of sharing arrangements.</w:t>
      </w:r>
    </w:p>
    <w:p w14:paraId="049A8C82" w14:textId="0F83AB78" w:rsidR="00AC567E" w:rsidRPr="000A3F60" w:rsidRDefault="00AC567E" w:rsidP="00A2245E">
      <w:pPr>
        <w:rPr>
          <w:rFonts w:eastAsia="MS Mincho"/>
          <w:lang w:eastAsia="ja-JP"/>
        </w:rPr>
      </w:pPr>
      <w:r w:rsidRPr="00AC567E">
        <w:t xml:space="preserve">Furthermore, it is imperative that </w:t>
      </w:r>
      <w:r>
        <w:t>r</w:t>
      </w:r>
      <w:r w:rsidRPr="00AC567E">
        <w:t xml:space="preserve">egulators should provide some flexibility for spectrum sharing among MNOs in scenarios where such arrangements provide clear benefits, </w:t>
      </w:r>
      <w:r w:rsidR="00810351">
        <w:t>such as</w:t>
      </w:r>
      <w:r w:rsidRPr="00AC567E">
        <w:t xml:space="preserve"> extending rural coverage, improving network capacity or</w:t>
      </w:r>
      <w:r>
        <w:t xml:space="preserve"> </w:t>
      </w:r>
      <w:r w:rsidRPr="00AC567E">
        <w:t>enhancing ne</w:t>
      </w:r>
      <w:r>
        <w:t>t</w:t>
      </w:r>
      <w:r w:rsidRPr="00AC567E">
        <w:t>work efficiency, without undermining effective market competition.</w:t>
      </w:r>
      <w:r>
        <w:t xml:space="preserve"> </w:t>
      </w:r>
    </w:p>
    <w:p w14:paraId="64F31615" w14:textId="6F420A91" w:rsidR="00AC567E" w:rsidRPr="0051398B" w:rsidRDefault="00AC567E" w:rsidP="00A2245E">
      <w:r w:rsidRPr="00AC567E">
        <w:t>To safeguard mar</w:t>
      </w:r>
      <w:r>
        <w:t>k</w:t>
      </w:r>
      <w:r w:rsidRPr="00AC567E">
        <w:t xml:space="preserve">et health, </w:t>
      </w:r>
      <w:r>
        <w:t>r</w:t>
      </w:r>
      <w:r w:rsidRPr="00AC567E">
        <w:t>egulators should contin</w:t>
      </w:r>
      <w:r>
        <w:t>u</w:t>
      </w:r>
      <w:r w:rsidRPr="00AC567E">
        <w:t>ously monitor the competitive impacts of RAN and spectrum sharing, and be prepared to in</w:t>
      </w:r>
      <w:r>
        <w:t>t</w:t>
      </w:r>
      <w:r w:rsidRPr="00AC567E">
        <w:t>ervene with appropriate remedial measures to address competition issues when they arise.</w:t>
      </w:r>
    </w:p>
    <w:p w14:paraId="3569428D" w14:textId="2A15F959" w:rsidR="00A2245E" w:rsidRPr="00DF1BC5" w:rsidRDefault="00A2245E" w:rsidP="00DF1BC5">
      <w:pPr>
        <w:pStyle w:val="Heading2"/>
        <w:spacing w:after="120"/>
      </w:pPr>
      <w:r w:rsidRPr="00DF1BC5">
        <w:t xml:space="preserve">Technical </w:t>
      </w:r>
      <w:r w:rsidR="00E75AC8">
        <w:t>c</w:t>
      </w:r>
      <w:r w:rsidRPr="00DF1BC5">
        <w:t>onditions</w:t>
      </w:r>
    </w:p>
    <w:p w14:paraId="222AE780" w14:textId="6AAECCA6" w:rsidR="00A2245E" w:rsidRPr="00DF1BC5" w:rsidRDefault="0070727C" w:rsidP="00A2245E">
      <w:r>
        <w:rPr>
          <w:rFonts w:eastAsia="MS Mincho" w:hint="eastAsia"/>
          <w:lang w:eastAsia="ja-JP"/>
        </w:rPr>
        <w:t xml:space="preserve">The technical </w:t>
      </w:r>
      <w:r w:rsidR="00664481">
        <w:rPr>
          <w:rFonts w:eastAsia="MS Mincho" w:hint="eastAsia"/>
          <w:lang w:eastAsia="ja-JP"/>
        </w:rPr>
        <w:t>requirements</w:t>
      </w:r>
      <w:r>
        <w:rPr>
          <w:rFonts w:eastAsia="MS Mincho" w:hint="eastAsia"/>
          <w:lang w:eastAsia="ja-JP"/>
        </w:rPr>
        <w:t xml:space="preserve"> </w:t>
      </w:r>
      <w:r w:rsidR="00664481">
        <w:rPr>
          <w:rFonts w:eastAsia="MS Mincho" w:hint="eastAsia"/>
          <w:lang w:eastAsia="ja-JP"/>
        </w:rPr>
        <w:t>for</w:t>
      </w:r>
      <w:r>
        <w:rPr>
          <w:rFonts w:eastAsia="MS Mincho" w:hint="eastAsia"/>
          <w:lang w:eastAsia="ja-JP"/>
        </w:rPr>
        <w:t xml:space="preserve"> </w:t>
      </w:r>
      <w:r w:rsidR="001E0A3E">
        <w:rPr>
          <w:rFonts w:eastAsia="MS Mincho" w:hint="eastAsia"/>
          <w:lang w:eastAsia="ja-JP"/>
        </w:rPr>
        <w:t>o</w:t>
      </w:r>
      <w:r w:rsidR="00A2245E" w:rsidRPr="00DF1BC5">
        <w:t>ut-of-</w:t>
      </w:r>
      <w:r w:rsidR="001E0A3E">
        <w:rPr>
          <w:rFonts w:eastAsia="MS Mincho" w:hint="eastAsia"/>
          <w:lang w:eastAsia="ja-JP"/>
        </w:rPr>
        <w:t>b</w:t>
      </w:r>
      <w:r w:rsidR="00A2245E" w:rsidRPr="00DF1BC5">
        <w:t xml:space="preserve">lock </w:t>
      </w:r>
      <w:r w:rsidR="001E0A3E">
        <w:rPr>
          <w:rFonts w:eastAsia="MS Mincho" w:hint="eastAsia"/>
          <w:lang w:eastAsia="ja-JP"/>
        </w:rPr>
        <w:t>e</w:t>
      </w:r>
      <w:r w:rsidR="00A2245E" w:rsidRPr="00DF1BC5">
        <w:t xml:space="preserve">mission </w:t>
      </w:r>
      <w:r w:rsidR="001E0A3E">
        <w:rPr>
          <w:rFonts w:eastAsia="MS Mincho" w:hint="eastAsia"/>
          <w:lang w:eastAsia="ja-JP"/>
        </w:rPr>
        <w:t>l</w:t>
      </w:r>
      <w:r w:rsidR="00A2245E" w:rsidRPr="00DF1BC5">
        <w:t xml:space="preserve">imits and TDD synchronization are </w:t>
      </w:r>
      <w:r w:rsidR="00A3152B">
        <w:rPr>
          <w:rFonts w:eastAsia="MS Mincho" w:hint="eastAsia"/>
          <w:lang w:eastAsia="ja-JP"/>
        </w:rPr>
        <w:t xml:space="preserve">related </w:t>
      </w:r>
      <w:r w:rsidR="00A2245E" w:rsidRPr="00DF1BC5">
        <w:t>to reduc</w:t>
      </w:r>
      <w:r w:rsidR="00664481">
        <w:rPr>
          <w:rFonts w:eastAsia="MS Mincho" w:hint="eastAsia"/>
          <w:lang w:eastAsia="ja-JP"/>
        </w:rPr>
        <w:t>ing</w:t>
      </w:r>
      <w:r w:rsidR="00A2245E" w:rsidRPr="00DF1BC5">
        <w:t xml:space="preserve"> interference between </w:t>
      </w:r>
      <w:r w:rsidR="00046704">
        <w:rPr>
          <w:rFonts w:eastAsia="MS Mincho" w:hint="eastAsia"/>
          <w:lang w:eastAsia="ja-JP"/>
        </w:rPr>
        <w:t>MN</w:t>
      </w:r>
      <w:r w:rsidR="00046704" w:rsidRPr="00675832">
        <w:rPr>
          <w:rFonts w:eastAsia="MS Mincho" w:hint="eastAsia"/>
          <w:lang w:eastAsia="ja-JP"/>
        </w:rPr>
        <w:t>O</w:t>
      </w:r>
      <w:r w:rsidR="00A2245E" w:rsidRPr="00675832">
        <w:t xml:space="preserve">s. </w:t>
      </w:r>
      <w:r w:rsidR="004B08B5" w:rsidRPr="002C10D8">
        <w:t xml:space="preserve">These technical </w:t>
      </w:r>
      <w:r w:rsidR="00675832" w:rsidRPr="002C10D8">
        <w:rPr>
          <w:rFonts w:eastAsia="MS Mincho"/>
          <w:lang w:eastAsia="ja-JP"/>
        </w:rPr>
        <w:t>conditions</w:t>
      </w:r>
      <w:r w:rsidR="004B08B5" w:rsidRPr="002C10D8">
        <w:t xml:space="preserve"> are crucial for mitigating interference between </w:t>
      </w:r>
      <w:r w:rsidR="005C285C">
        <w:rPr>
          <w:rFonts w:eastAsia="MS Mincho" w:hint="eastAsia"/>
          <w:lang w:eastAsia="ja-JP"/>
        </w:rPr>
        <w:t>MNO</w:t>
      </w:r>
      <w:r w:rsidR="004B08B5" w:rsidRPr="002C10D8">
        <w:t>s working in adjacent spectrum blocks.</w:t>
      </w:r>
      <w:r w:rsidR="004B08B5" w:rsidRPr="00675832">
        <w:t xml:space="preserve"> </w:t>
      </w:r>
      <w:r w:rsidR="00A2245E" w:rsidRPr="00675832">
        <w:t>Therefore</w:t>
      </w:r>
      <w:r w:rsidR="00046704" w:rsidRPr="00675832">
        <w:rPr>
          <w:rFonts w:eastAsia="MS Mincho" w:hint="eastAsia"/>
          <w:lang w:eastAsia="ja-JP"/>
        </w:rPr>
        <w:t>,</w:t>
      </w:r>
      <w:r w:rsidR="00A2245E" w:rsidRPr="00675832">
        <w:t xml:space="preserve"> th</w:t>
      </w:r>
      <w:r w:rsidR="00046704" w:rsidRPr="00675832">
        <w:rPr>
          <w:rFonts w:eastAsia="MS Mincho" w:hint="eastAsia"/>
          <w:lang w:eastAsia="ja-JP"/>
        </w:rPr>
        <w:t>e</w:t>
      </w:r>
      <w:r w:rsidR="00A2245E" w:rsidRPr="00675832">
        <w:t xml:space="preserve">se technical conditions are widely used when licensing </w:t>
      </w:r>
      <w:r w:rsidR="004B0E5E" w:rsidRPr="00675832">
        <w:rPr>
          <w:rFonts w:eastAsia="MS Mincho" w:hint="eastAsia"/>
          <w:lang w:eastAsia="ja-JP"/>
        </w:rPr>
        <w:t xml:space="preserve">spectrum </w:t>
      </w:r>
      <w:r w:rsidR="00A2245E" w:rsidRPr="00675832">
        <w:t>to MNOs.</w:t>
      </w:r>
      <w:r w:rsidR="00A2245E" w:rsidRPr="00DF1BC5">
        <w:t xml:space="preserve"> </w:t>
      </w:r>
    </w:p>
    <w:p w14:paraId="0FA2E83B" w14:textId="1E500E9B" w:rsidR="00243868" w:rsidRDefault="00A2245E" w:rsidP="00630F7B">
      <w:pPr>
        <w:rPr>
          <w:rFonts w:eastAsia="MS Mincho"/>
          <w:lang w:eastAsia="ja-JP"/>
        </w:rPr>
      </w:pPr>
      <w:r w:rsidRPr="00DF1BC5">
        <w:t>When MNO</w:t>
      </w:r>
      <w:r w:rsidR="00D15172" w:rsidRPr="00DF1BC5">
        <w:t>s</w:t>
      </w:r>
      <w:r w:rsidRPr="00DF1BC5">
        <w:t xml:space="preserve"> </w:t>
      </w:r>
      <w:r w:rsidR="004B0E5E">
        <w:rPr>
          <w:rFonts w:eastAsia="MS Mincho" w:hint="eastAsia"/>
          <w:lang w:eastAsia="ja-JP"/>
        </w:rPr>
        <w:t>implement</w:t>
      </w:r>
      <w:r w:rsidR="004B0E5E" w:rsidRPr="00DF1BC5">
        <w:t xml:space="preserve"> </w:t>
      </w:r>
      <w:r w:rsidRPr="00DF1BC5">
        <w:t xml:space="preserve">RAN/spectrum sharing, national regulators could consider </w:t>
      </w:r>
      <w:r w:rsidR="006D33D1">
        <w:rPr>
          <w:rFonts w:eastAsia="MS Mincho" w:hint="eastAsia"/>
          <w:lang w:eastAsia="ja-JP"/>
        </w:rPr>
        <w:t xml:space="preserve"> </w:t>
      </w:r>
      <w:r w:rsidR="003C4652">
        <w:rPr>
          <w:rFonts w:eastAsia="MS Mincho" w:hint="eastAsia"/>
          <w:lang w:eastAsia="ja-JP"/>
        </w:rPr>
        <w:t xml:space="preserve">introducing </w:t>
      </w:r>
      <w:r w:rsidR="00823E64">
        <w:rPr>
          <w:rFonts w:eastAsia="MS Mincho" w:hint="eastAsia"/>
          <w:lang w:eastAsia="ja-JP"/>
        </w:rPr>
        <w:t xml:space="preserve">necessary </w:t>
      </w:r>
      <w:r w:rsidR="003C4652">
        <w:rPr>
          <w:rFonts w:eastAsia="MS Mincho"/>
          <w:lang w:eastAsia="ja-JP"/>
        </w:rPr>
        <w:t>technical</w:t>
      </w:r>
      <w:r w:rsidR="003C4652">
        <w:rPr>
          <w:rFonts w:eastAsia="MS Mincho" w:hint="eastAsia"/>
          <w:lang w:eastAsia="ja-JP"/>
        </w:rPr>
        <w:t xml:space="preserve"> conditions for o</w:t>
      </w:r>
      <w:r w:rsidRPr="00DF1BC5">
        <w:t>ut-of-</w:t>
      </w:r>
      <w:r w:rsidR="003C4652">
        <w:rPr>
          <w:rFonts w:eastAsia="MS Mincho" w:hint="eastAsia"/>
          <w:lang w:eastAsia="ja-JP"/>
        </w:rPr>
        <w:t>b</w:t>
      </w:r>
      <w:r w:rsidRPr="00DF1BC5">
        <w:t xml:space="preserve">lock </w:t>
      </w:r>
      <w:r w:rsidR="003C4652">
        <w:rPr>
          <w:rFonts w:eastAsia="MS Mincho" w:hint="eastAsia"/>
          <w:lang w:eastAsia="ja-JP"/>
        </w:rPr>
        <w:t>e</w:t>
      </w:r>
      <w:r w:rsidRPr="00DF1BC5">
        <w:t xml:space="preserve">mission </w:t>
      </w:r>
      <w:r w:rsidR="003C4652">
        <w:rPr>
          <w:rFonts w:eastAsia="MS Mincho" w:hint="eastAsia"/>
          <w:lang w:eastAsia="ja-JP"/>
        </w:rPr>
        <w:t>l</w:t>
      </w:r>
      <w:r w:rsidRPr="00DF1BC5">
        <w:t>imits and/or TDD synchronization to prevent interference to other MNO</w:t>
      </w:r>
      <w:r w:rsidR="00D63EA3">
        <w:rPr>
          <w:rFonts w:eastAsia="MS Mincho" w:hint="eastAsia"/>
          <w:lang w:eastAsia="ja-JP"/>
        </w:rPr>
        <w:t>s</w:t>
      </w:r>
      <w:r w:rsidRPr="00DF1BC5">
        <w:t xml:space="preserve"> operating in </w:t>
      </w:r>
      <w:r w:rsidR="00102D66">
        <w:rPr>
          <w:rFonts w:eastAsia="MS Mincho" w:hint="eastAsia"/>
          <w:lang w:eastAsia="ja-JP"/>
        </w:rPr>
        <w:t xml:space="preserve">the </w:t>
      </w:r>
      <w:r w:rsidRPr="00DF1BC5">
        <w:t>adjacent spectrum block.</w:t>
      </w:r>
      <w:r w:rsidRPr="00A2245E">
        <w:t xml:space="preserve"> </w:t>
      </w:r>
    </w:p>
    <w:p w14:paraId="3CB62F60" w14:textId="1272E564" w:rsidR="0031787E" w:rsidRPr="002C10D8" w:rsidRDefault="0031787E" w:rsidP="00D666A2">
      <w:pPr>
        <w:keepNext/>
        <w:rPr>
          <w:b/>
        </w:rPr>
      </w:pPr>
      <w:r w:rsidRPr="002C10D8">
        <w:rPr>
          <w:b/>
        </w:rPr>
        <w:t>5.2.1. Out-of-</w:t>
      </w:r>
      <w:r w:rsidR="0094183F" w:rsidRPr="002C10D8">
        <w:rPr>
          <w:rFonts w:eastAsia="MS Mincho"/>
          <w:b/>
          <w:lang w:eastAsia="ja-JP"/>
        </w:rPr>
        <w:t>b</w:t>
      </w:r>
      <w:r w:rsidRPr="002C10D8">
        <w:rPr>
          <w:b/>
        </w:rPr>
        <w:t xml:space="preserve">lock </w:t>
      </w:r>
      <w:r w:rsidR="0094183F" w:rsidRPr="002C10D8">
        <w:rPr>
          <w:rFonts w:eastAsia="MS Mincho"/>
          <w:b/>
          <w:lang w:eastAsia="ja-JP"/>
        </w:rPr>
        <w:t>e</w:t>
      </w:r>
      <w:r w:rsidRPr="002C10D8">
        <w:rPr>
          <w:b/>
        </w:rPr>
        <w:t xml:space="preserve">mission </w:t>
      </w:r>
      <w:r w:rsidR="0094183F" w:rsidRPr="002C10D8">
        <w:rPr>
          <w:rFonts w:eastAsia="MS Mincho"/>
          <w:b/>
          <w:lang w:eastAsia="ja-JP"/>
        </w:rPr>
        <w:t>l</w:t>
      </w:r>
      <w:r w:rsidRPr="002C10D8">
        <w:rPr>
          <w:b/>
        </w:rPr>
        <w:t>imits</w:t>
      </w:r>
    </w:p>
    <w:p w14:paraId="344437E3" w14:textId="64334BB0" w:rsidR="0031787E" w:rsidRPr="002C10D8" w:rsidRDefault="0031787E" w:rsidP="0031787E">
      <w:r w:rsidRPr="002C10D8">
        <w:t>Out-of-</w:t>
      </w:r>
      <w:r w:rsidR="0094183F" w:rsidRPr="002C10D8">
        <w:rPr>
          <w:rFonts w:eastAsia="MS Mincho"/>
          <w:lang w:eastAsia="ja-JP"/>
        </w:rPr>
        <w:t>b</w:t>
      </w:r>
      <w:r w:rsidRPr="002C10D8">
        <w:t xml:space="preserve">lock </w:t>
      </w:r>
      <w:r w:rsidR="0094183F" w:rsidRPr="002C10D8">
        <w:rPr>
          <w:rFonts w:eastAsia="MS Mincho"/>
          <w:lang w:eastAsia="ja-JP"/>
        </w:rPr>
        <w:t>e</w:t>
      </w:r>
      <w:r w:rsidRPr="002C10D8">
        <w:t xml:space="preserve">mission limits define the maximum permissible interference from the emission of signals outside the designated frequency band. By enforcing these limits, the risk of interference between different MNOs sharing the same or adjacent frequency bands can be minimized. In RAN/Spectrum Sharing, such limitations are often specified when an </w:t>
      </w:r>
      <w:r w:rsidR="005C285C">
        <w:rPr>
          <w:rFonts w:eastAsia="MS Mincho" w:hint="eastAsia"/>
          <w:lang w:eastAsia="ja-JP"/>
        </w:rPr>
        <w:t>MNO</w:t>
      </w:r>
      <w:r w:rsidRPr="002C10D8">
        <w:t xml:space="preserve"> shares a radio access </w:t>
      </w:r>
      <w:r w:rsidRPr="002C10D8">
        <w:lastRenderedPageBreak/>
        <w:t xml:space="preserve">network (RAN) or spectrum with another </w:t>
      </w:r>
      <w:r w:rsidR="005C285C">
        <w:rPr>
          <w:rFonts w:eastAsia="MS Mincho" w:hint="eastAsia"/>
          <w:lang w:eastAsia="ja-JP"/>
        </w:rPr>
        <w:t>MNO</w:t>
      </w:r>
      <w:r w:rsidRPr="002C10D8">
        <w:t>. Out-of-</w:t>
      </w:r>
      <w:r w:rsidR="0094183F" w:rsidRPr="002C10D8">
        <w:rPr>
          <w:rFonts w:eastAsia="MS Mincho"/>
          <w:lang w:eastAsia="ja-JP"/>
        </w:rPr>
        <w:t>b</w:t>
      </w:r>
      <w:r w:rsidRPr="002C10D8">
        <w:t xml:space="preserve">lock </w:t>
      </w:r>
      <w:r w:rsidR="0094183F" w:rsidRPr="002C10D8">
        <w:rPr>
          <w:rFonts w:eastAsia="MS Mincho"/>
          <w:lang w:eastAsia="ja-JP"/>
        </w:rPr>
        <w:t>e</w:t>
      </w:r>
      <w:r w:rsidRPr="002C10D8">
        <w:t xml:space="preserve">mission </w:t>
      </w:r>
      <w:r w:rsidR="0094183F" w:rsidRPr="002C10D8">
        <w:rPr>
          <w:rFonts w:eastAsia="MS Mincho"/>
          <w:lang w:eastAsia="ja-JP"/>
        </w:rPr>
        <w:t>l</w:t>
      </w:r>
      <w:r w:rsidRPr="002C10D8">
        <w:t>imits ensure that the signals emitted by one network do not interfere with other networks, thereby maintaining service quality for all parties involved.</w:t>
      </w:r>
    </w:p>
    <w:p w14:paraId="3820DA47" w14:textId="77777777" w:rsidR="0031787E" w:rsidRPr="002C10D8" w:rsidRDefault="0031787E" w:rsidP="0031787E">
      <w:pPr>
        <w:jc w:val="center"/>
      </w:pPr>
      <w:r w:rsidRPr="002C10D8">
        <w:rPr>
          <w:noProof/>
          <w:lang w:val="en-GB" w:eastAsia="en-GB"/>
        </w:rPr>
        <w:drawing>
          <wp:inline distT="0" distB="0" distL="0" distR="0" wp14:anchorId="7CFAEFB9" wp14:editId="49BF98E5">
            <wp:extent cx="4772261" cy="2882189"/>
            <wp:effectExtent l="0" t="0" r="0" b="0"/>
            <wp:docPr id="8" name="Picture 8"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グラフ, 棒グラフ&#10;&#10;AI 生成コンテンツは誤りを含む可能性がありま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3799" cy="2889157"/>
                    </a:xfrm>
                    <a:prstGeom prst="rect">
                      <a:avLst/>
                    </a:prstGeom>
                  </pic:spPr>
                </pic:pic>
              </a:graphicData>
            </a:graphic>
          </wp:inline>
        </w:drawing>
      </w:r>
    </w:p>
    <w:p w14:paraId="5F62B553" w14:textId="77777777" w:rsidR="0031787E" w:rsidRPr="002C10D8" w:rsidRDefault="0031787E" w:rsidP="0031787E">
      <w:pPr>
        <w:jc w:val="center"/>
        <w:rPr>
          <w:lang w:eastAsia="vi-VN"/>
        </w:rPr>
      </w:pPr>
      <w:r w:rsidRPr="002C10D8">
        <w:rPr>
          <w:lang w:val="vi-VN" w:eastAsia="vi-VN"/>
        </w:rPr>
        <w:t xml:space="preserve">Illustration of a general </w:t>
      </w:r>
      <w:r w:rsidRPr="002C10D8">
        <w:rPr>
          <w:lang w:eastAsia="vi-VN"/>
        </w:rPr>
        <w:t>out-of-</w:t>
      </w:r>
      <w:r w:rsidRPr="002C10D8">
        <w:rPr>
          <w:lang w:val="vi-VN" w:eastAsia="vi-VN"/>
        </w:rPr>
        <w:t xml:space="preserve">block </w:t>
      </w:r>
      <w:r w:rsidRPr="002C10D8">
        <w:rPr>
          <w:lang w:eastAsia="vi-VN"/>
        </w:rPr>
        <w:t>limits</w:t>
      </w:r>
    </w:p>
    <w:tbl>
      <w:tblPr>
        <w:tblStyle w:val="TableGrid"/>
        <w:tblW w:w="0" w:type="auto"/>
        <w:tblLook w:val="04A0" w:firstRow="1" w:lastRow="0" w:firstColumn="1" w:lastColumn="0" w:noHBand="0" w:noVBand="1"/>
      </w:tblPr>
      <w:tblGrid>
        <w:gridCol w:w="3539"/>
        <w:gridCol w:w="5624"/>
      </w:tblGrid>
      <w:tr w:rsidR="0031787E" w:rsidRPr="00502CD7" w14:paraId="217F092D" w14:textId="77777777" w:rsidTr="005A2178">
        <w:tc>
          <w:tcPr>
            <w:tcW w:w="3539" w:type="dxa"/>
          </w:tcPr>
          <w:p w14:paraId="68D321B1" w14:textId="3A48FAE0" w:rsidR="0031787E" w:rsidRPr="002C10D8" w:rsidRDefault="0031787E" w:rsidP="00D666A2">
            <w:pPr>
              <w:spacing w:afterLines="0" w:after="0"/>
              <w:jc w:val="center"/>
              <w:rPr>
                <w:b/>
              </w:rPr>
            </w:pPr>
            <w:r w:rsidRPr="002C10D8">
              <w:rPr>
                <w:b/>
              </w:rPr>
              <w:t>Out-of-</w:t>
            </w:r>
            <w:r w:rsidR="0094183F" w:rsidRPr="002C10D8">
              <w:rPr>
                <w:rFonts w:eastAsia="MS Mincho"/>
                <w:b/>
                <w:lang w:eastAsia="ja-JP"/>
              </w:rPr>
              <w:t>b</w:t>
            </w:r>
            <w:r w:rsidRPr="002C10D8">
              <w:rPr>
                <w:b/>
              </w:rPr>
              <w:t xml:space="preserve">lock </w:t>
            </w:r>
            <w:r w:rsidR="0094183F" w:rsidRPr="002C10D8">
              <w:rPr>
                <w:rFonts w:eastAsia="MS Mincho"/>
                <w:b/>
                <w:lang w:eastAsia="ja-JP"/>
              </w:rPr>
              <w:t>e</w:t>
            </w:r>
            <w:r w:rsidRPr="002C10D8">
              <w:rPr>
                <w:b/>
              </w:rPr>
              <w:t>mission</w:t>
            </w:r>
            <w:r w:rsidRPr="002C10D8">
              <w:t xml:space="preserve"> </w:t>
            </w:r>
            <w:r w:rsidRPr="002C10D8">
              <w:rPr>
                <w:b/>
              </w:rPr>
              <w:t>elements</w:t>
            </w:r>
          </w:p>
        </w:tc>
        <w:tc>
          <w:tcPr>
            <w:tcW w:w="5624" w:type="dxa"/>
          </w:tcPr>
          <w:p w14:paraId="06C07CC3" w14:textId="0EEC5DA9" w:rsidR="0031787E" w:rsidRPr="002C10D8" w:rsidRDefault="005542F5" w:rsidP="00D666A2">
            <w:pPr>
              <w:spacing w:afterLines="0" w:after="0"/>
              <w:jc w:val="center"/>
              <w:rPr>
                <w:b/>
              </w:rPr>
            </w:pPr>
            <w:r w:rsidRPr="002C10D8">
              <w:rPr>
                <w:b/>
              </w:rPr>
              <w:t>Definition</w:t>
            </w:r>
          </w:p>
        </w:tc>
      </w:tr>
      <w:tr w:rsidR="0031787E" w:rsidRPr="00502CD7" w14:paraId="0C7CDACF" w14:textId="77777777" w:rsidTr="005A2178">
        <w:trPr>
          <w:trHeight w:val="70"/>
        </w:trPr>
        <w:tc>
          <w:tcPr>
            <w:tcW w:w="3539" w:type="dxa"/>
          </w:tcPr>
          <w:p w14:paraId="218FD000" w14:textId="77777777" w:rsidR="0031787E" w:rsidRPr="002C10D8" w:rsidRDefault="0031787E" w:rsidP="00D666A2">
            <w:pPr>
              <w:spacing w:afterLines="0" w:after="0"/>
            </w:pPr>
            <w:r w:rsidRPr="002C10D8">
              <w:t>In-block</w:t>
            </w:r>
          </w:p>
        </w:tc>
        <w:tc>
          <w:tcPr>
            <w:tcW w:w="5624" w:type="dxa"/>
          </w:tcPr>
          <w:p w14:paraId="252B62DF" w14:textId="5D1B962E" w:rsidR="0031787E" w:rsidRPr="002C10D8" w:rsidRDefault="0031787E" w:rsidP="00D666A2">
            <w:pPr>
              <w:spacing w:afterLines="0" w:after="0"/>
            </w:pPr>
            <w:r w:rsidRPr="002C10D8">
              <w:t>Block for which the BEM</w:t>
            </w:r>
            <w:r w:rsidR="00601AA9" w:rsidRPr="002C10D8">
              <w:rPr>
                <w:rFonts w:eastAsia="MS Mincho"/>
                <w:lang w:eastAsia="ja-JP"/>
              </w:rPr>
              <w:t>(Block Edge Mask)</w:t>
            </w:r>
            <w:r w:rsidRPr="002C10D8">
              <w:t xml:space="preserve"> is derived.</w:t>
            </w:r>
          </w:p>
        </w:tc>
      </w:tr>
      <w:tr w:rsidR="0031787E" w:rsidRPr="00502CD7" w14:paraId="564CFAE8" w14:textId="77777777" w:rsidTr="005A2178">
        <w:tc>
          <w:tcPr>
            <w:tcW w:w="3539" w:type="dxa"/>
          </w:tcPr>
          <w:p w14:paraId="2CE2E9DA" w14:textId="77777777" w:rsidR="0031787E" w:rsidRPr="002C10D8" w:rsidRDefault="0031787E" w:rsidP="00D666A2">
            <w:pPr>
              <w:spacing w:afterLines="0" w:after="0"/>
            </w:pPr>
            <w:r w:rsidRPr="002C10D8">
              <w:t>Baseline</w:t>
            </w:r>
          </w:p>
        </w:tc>
        <w:tc>
          <w:tcPr>
            <w:tcW w:w="5624" w:type="dxa"/>
          </w:tcPr>
          <w:p w14:paraId="183221F2" w14:textId="58137AC9" w:rsidR="0031787E" w:rsidRPr="002C10D8" w:rsidRDefault="0031787E" w:rsidP="00D666A2">
            <w:pPr>
              <w:spacing w:afterLines="0" w:after="0"/>
            </w:pPr>
            <w:r w:rsidRPr="002C10D8">
              <w:t xml:space="preserve">Spectrum used for </w:t>
            </w:r>
            <w:r w:rsidR="009A67EE" w:rsidRPr="002C10D8">
              <w:rPr>
                <w:rFonts w:eastAsia="MS Mincho"/>
                <w:lang w:eastAsia="ja-JP"/>
              </w:rPr>
              <w:t>IMT</w:t>
            </w:r>
            <w:r w:rsidRPr="002C10D8">
              <w:t xml:space="preserve">, except </w:t>
            </w:r>
            <w:r w:rsidR="00742625" w:rsidRPr="002C10D8">
              <w:t>for</w:t>
            </w:r>
            <w:r w:rsidRPr="002C10D8">
              <w:t xml:space="preserve"> the </w:t>
            </w:r>
            <w:r w:rsidR="00386241">
              <w:rPr>
                <w:rFonts w:eastAsia="MS Mincho" w:hint="eastAsia"/>
                <w:lang w:eastAsia="ja-JP"/>
              </w:rPr>
              <w:t>MNO</w:t>
            </w:r>
            <w:r w:rsidRPr="002C10D8">
              <w:t xml:space="preserve"> block in question and corresponding transitional regions.</w:t>
            </w:r>
          </w:p>
        </w:tc>
      </w:tr>
      <w:tr w:rsidR="0031787E" w:rsidRPr="00A55A89" w14:paraId="61F76331" w14:textId="77777777" w:rsidTr="005A2178">
        <w:tc>
          <w:tcPr>
            <w:tcW w:w="3539" w:type="dxa"/>
          </w:tcPr>
          <w:p w14:paraId="624286BF" w14:textId="77777777" w:rsidR="0031787E" w:rsidRPr="002C10D8" w:rsidRDefault="0031787E" w:rsidP="00D666A2">
            <w:pPr>
              <w:spacing w:afterLines="0" w:after="0"/>
            </w:pPr>
            <w:r w:rsidRPr="002C10D8">
              <w:t>Transitional region</w:t>
            </w:r>
          </w:p>
        </w:tc>
        <w:tc>
          <w:tcPr>
            <w:tcW w:w="5624" w:type="dxa"/>
          </w:tcPr>
          <w:p w14:paraId="2D383FE1" w14:textId="1B34B0D3" w:rsidR="0031787E" w:rsidRPr="002C10D8" w:rsidRDefault="0031787E" w:rsidP="00D666A2">
            <w:pPr>
              <w:spacing w:afterLines="0" w:after="0"/>
            </w:pPr>
            <w:r w:rsidRPr="002C10D8">
              <w:t xml:space="preserve">The transitional region applies 0 to 10 MHz below and above the block assigned to the </w:t>
            </w:r>
            <w:r w:rsidR="00386241">
              <w:rPr>
                <w:rFonts w:eastAsia="MS Mincho" w:hint="eastAsia"/>
                <w:lang w:eastAsia="ja-JP"/>
              </w:rPr>
              <w:t>MNO</w:t>
            </w:r>
            <w:r w:rsidRPr="002C10D8">
              <w:t>.</w:t>
            </w:r>
          </w:p>
        </w:tc>
      </w:tr>
    </w:tbl>
    <w:p w14:paraId="6AA54170" w14:textId="77777777" w:rsidR="0031787E" w:rsidRPr="00A55A89" w:rsidRDefault="0031787E" w:rsidP="0031787E">
      <w:pPr>
        <w:rPr>
          <w:highlight w:val="yellow"/>
        </w:rPr>
      </w:pPr>
    </w:p>
    <w:p w14:paraId="60CC6271" w14:textId="166D0432" w:rsidR="0031787E" w:rsidRPr="002C10D8" w:rsidRDefault="0031787E" w:rsidP="0031787E">
      <w:pPr>
        <w:rPr>
          <w:b/>
        </w:rPr>
      </w:pPr>
      <w:r w:rsidRPr="002C10D8">
        <w:rPr>
          <w:b/>
        </w:rPr>
        <w:t xml:space="preserve">5.2.2. TDD </w:t>
      </w:r>
      <w:r w:rsidR="00080C20" w:rsidRPr="002C10D8">
        <w:rPr>
          <w:rFonts w:eastAsia="MS Mincho"/>
          <w:b/>
          <w:lang w:eastAsia="ja-JP"/>
        </w:rPr>
        <w:t>s</w:t>
      </w:r>
      <w:r w:rsidRPr="002C10D8">
        <w:rPr>
          <w:b/>
        </w:rPr>
        <w:t>ynchronization</w:t>
      </w:r>
    </w:p>
    <w:p w14:paraId="1BE97374" w14:textId="678804CF" w:rsidR="0031787E" w:rsidRPr="002C10D8" w:rsidRDefault="0031787E" w:rsidP="0031787E">
      <w:pPr>
        <w:rPr>
          <w:rFonts w:eastAsia="MS Mincho"/>
          <w:lang w:eastAsia="ja-JP"/>
        </w:rPr>
      </w:pPr>
      <w:r w:rsidRPr="002C10D8">
        <w:t xml:space="preserve">Proper TDD synchronization between MNOs using the same or adjacent spectrum to deploy IMT networks in TDD mode is essential to avoid collision of transmissions, prevent interference and spectrum waste. </w:t>
      </w:r>
      <w:r w:rsidR="002C10D8" w:rsidRPr="002C10D8">
        <w:t>Synchronized</w:t>
      </w:r>
      <w:r w:rsidRPr="002C10D8">
        <w:t xml:space="preserve"> operation will require </w:t>
      </w:r>
      <w:r w:rsidR="002C10D8" w:rsidRPr="002C10D8">
        <w:t>neighboring</w:t>
      </w:r>
      <w:r w:rsidRPr="002C10D8">
        <w:t xml:space="preserve"> </w:t>
      </w:r>
      <w:r w:rsidR="00607C04">
        <w:rPr>
          <w:rFonts w:eastAsia="MS Mincho" w:hint="eastAsia"/>
          <w:lang w:eastAsia="ja-JP"/>
        </w:rPr>
        <w:t>MNO</w:t>
      </w:r>
      <w:r w:rsidRPr="002C10D8">
        <w:t>s to coordinate to select a compatible frame structure, and a common phase clock reference (e.g. UTC) with a requirement on the accuracy/performance, and a common understanding about the start of the frame with regards to the common phase clock reference.</w:t>
      </w:r>
    </w:p>
    <w:p w14:paraId="652336E1" w14:textId="7AE4B0D4" w:rsidR="0031787E" w:rsidRPr="005A2178" w:rsidRDefault="0031787E" w:rsidP="0031787E">
      <w:pPr>
        <w:rPr>
          <w:rFonts w:eastAsia="MS Mincho"/>
          <w:lang w:eastAsia="ja-JP"/>
        </w:rPr>
      </w:pPr>
      <w:r w:rsidRPr="002C10D8">
        <w:t>The synchronized operation of TDD networks could avoid the cross</w:t>
      </w:r>
      <w:r w:rsidR="00742625">
        <w:rPr>
          <w:rFonts w:eastAsia="MS Mincho" w:hint="eastAsia"/>
          <w:lang w:eastAsia="ja-JP"/>
        </w:rPr>
        <w:t>-</w:t>
      </w:r>
      <w:r w:rsidRPr="002C10D8">
        <w:t>link interference between networks and provide excellent performance in an economic and efficient way.</w:t>
      </w:r>
    </w:p>
    <w:p w14:paraId="77B3D035" w14:textId="77777777" w:rsidR="00B63D3F" w:rsidRPr="00DF1BC5" w:rsidRDefault="00A05845" w:rsidP="00DF1BC5">
      <w:pPr>
        <w:pStyle w:val="Heading2"/>
        <w:spacing w:after="120"/>
      </w:pPr>
      <w:r>
        <w:rPr>
          <w:rFonts w:eastAsia="MS Mincho" w:hint="eastAsia"/>
          <w:lang w:eastAsia="ja-JP"/>
        </w:rPr>
        <w:t xml:space="preserve"> </w:t>
      </w:r>
      <w:r w:rsidR="00B63D3F" w:rsidRPr="00DF1BC5">
        <w:t>Consideration on network and spectrum sharing</w:t>
      </w:r>
    </w:p>
    <w:p w14:paraId="48478AF9" w14:textId="2FCA3C94" w:rsidR="004C18C1" w:rsidRPr="00DF1BC5" w:rsidRDefault="00A1075E">
      <w:pPr>
        <w:rPr>
          <w:lang w:val="en-GB" w:eastAsia="ko-KR"/>
        </w:rPr>
      </w:pPr>
      <w:r w:rsidRPr="00DF1BC5">
        <w:rPr>
          <w:lang w:eastAsia="ko-KR"/>
        </w:rPr>
        <w:t>Network and spectrum s</w:t>
      </w:r>
      <w:r w:rsidR="001B4953" w:rsidRPr="00DF1BC5">
        <w:rPr>
          <w:lang w:eastAsia="ko-KR"/>
        </w:rPr>
        <w:t xml:space="preserve">haring is only possible if regulations do not prohibit it, commercial measures </w:t>
      </w:r>
      <w:r w:rsidR="006904F1" w:rsidRPr="00DF1BC5">
        <w:rPr>
          <w:lang w:eastAsia="ko-KR"/>
        </w:rPr>
        <w:t>incentivize</w:t>
      </w:r>
      <w:r w:rsidR="001B4953" w:rsidRPr="00DF1BC5">
        <w:rPr>
          <w:lang w:eastAsia="ko-KR"/>
        </w:rPr>
        <w:t xml:space="preserve"> it, and it is technically practical (i.e. different </w:t>
      </w:r>
      <w:r w:rsidR="00A84223">
        <w:rPr>
          <w:rFonts w:eastAsia="MS Mincho" w:hint="eastAsia"/>
          <w:lang w:eastAsia="ja-JP"/>
        </w:rPr>
        <w:t xml:space="preserve">MNOs </w:t>
      </w:r>
      <w:r w:rsidR="001B4953" w:rsidRPr="00DF1BC5">
        <w:rPr>
          <w:lang w:eastAsia="ko-KR"/>
        </w:rPr>
        <w:t xml:space="preserve">can operate </w:t>
      </w:r>
      <w:r w:rsidR="00090075">
        <w:rPr>
          <w:rFonts w:eastAsia="MS Mincho" w:hint="eastAsia"/>
          <w:lang w:eastAsia="ja-JP"/>
        </w:rPr>
        <w:t xml:space="preserve">their </w:t>
      </w:r>
      <w:r w:rsidR="008A11E7">
        <w:rPr>
          <w:rFonts w:eastAsia="MS Mincho" w:hint="eastAsia"/>
          <w:lang w:eastAsia="ja-JP"/>
        </w:rPr>
        <w:t>IMT</w:t>
      </w:r>
      <w:r w:rsidR="00090075">
        <w:rPr>
          <w:rFonts w:eastAsia="MS Mincho" w:hint="eastAsia"/>
          <w:lang w:eastAsia="ja-JP"/>
        </w:rPr>
        <w:t xml:space="preserve"> networks </w:t>
      </w:r>
      <w:r w:rsidR="001B4953" w:rsidRPr="00DF1BC5">
        <w:rPr>
          <w:lang w:eastAsia="ko-KR"/>
        </w:rPr>
        <w:t xml:space="preserve">effectively without interference). </w:t>
      </w:r>
      <w:r w:rsidR="001B4953" w:rsidRPr="00DF1BC5">
        <w:rPr>
          <w:lang w:val="en-GB" w:eastAsia="ko-KR"/>
        </w:rPr>
        <w:t xml:space="preserve">Regulators can enable sharing by giving incumbent </w:t>
      </w:r>
      <w:r w:rsidR="00C45FE7">
        <w:rPr>
          <w:rFonts w:eastAsia="MS Mincho" w:hint="eastAsia"/>
          <w:lang w:val="en-GB" w:eastAsia="ja-JP"/>
        </w:rPr>
        <w:t>MNO</w:t>
      </w:r>
      <w:r w:rsidR="001B4953" w:rsidRPr="00DF1BC5">
        <w:rPr>
          <w:lang w:val="en-GB" w:eastAsia="ko-KR"/>
        </w:rPr>
        <w:t>s the right to share their spectrum voluntarily through commercial agreements or by awarding rights to use spectrum in areas and/or at times when the incumbent is not using it.</w:t>
      </w:r>
      <w:r w:rsidRPr="00DF1BC5">
        <w:rPr>
          <w:rStyle w:val="FootnoteReference"/>
          <w:lang w:val="en-GB" w:eastAsia="ko-KR"/>
        </w:rPr>
        <w:footnoteReference w:id="1"/>
      </w:r>
    </w:p>
    <w:p w14:paraId="4B8DC891" w14:textId="77777777" w:rsidR="00312B4D" w:rsidRPr="00DF1BC5" w:rsidRDefault="00AD3E2F" w:rsidP="00DF1BC5">
      <w:pPr>
        <w:rPr>
          <w:lang w:val="en-GB" w:eastAsia="ko-KR"/>
        </w:rPr>
      </w:pPr>
      <w:r w:rsidRPr="00DF1BC5">
        <w:rPr>
          <w:lang w:val="en-GB" w:eastAsia="ko-KR"/>
        </w:rPr>
        <w:lastRenderedPageBreak/>
        <w:t>T</w:t>
      </w:r>
      <w:r w:rsidR="00312B4D" w:rsidRPr="00DF1BC5">
        <w:rPr>
          <w:lang w:val="en-GB" w:eastAsia="ko-KR"/>
        </w:rPr>
        <w:t>he right regulatory framework could support leasing and help overcome potential concerns around the implications for competition. This can be achieved by providing clarity with respect to several components, including considerations for the granting of permission to lease spectrum and the roles and responsibilities of the lessor and lessee when it comes to network coverage and rollout, and fees, as well as licence obligations relating to technological neutrality, quality of service and consumer protection.</w:t>
      </w:r>
      <w:r w:rsidR="00A1075E" w:rsidRPr="00DF1BC5">
        <w:rPr>
          <w:rStyle w:val="FootnoteReference"/>
          <w:lang w:val="en-GB" w:eastAsia="ko-KR"/>
        </w:rPr>
        <w:footnoteReference w:id="2"/>
      </w:r>
    </w:p>
    <w:p w14:paraId="51B34DD4" w14:textId="0BAD09CD" w:rsidR="001B4953" w:rsidRPr="00DF1BC5" w:rsidRDefault="00324E35" w:rsidP="00DF1BC5">
      <w:pPr>
        <w:rPr>
          <w:lang w:eastAsia="ko-KR"/>
        </w:rPr>
      </w:pPr>
      <w:r>
        <w:rPr>
          <w:rFonts w:eastAsia="MS Mincho" w:hint="eastAsia"/>
          <w:lang w:eastAsia="ja-JP"/>
        </w:rPr>
        <w:t>According to one study, s</w:t>
      </w:r>
      <w:r w:rsidR="001B4953" w:rsidRPr="00DF1BC5">
        <w:rPr>
          <w:lang w:eastAsia="ko-KR"/>
        </w:rPr>
        <w:t xml:space="preserve">ome of the key </w:t>
      </w:r>
      <w:r w:rsidR="003F6B2F" w:rsidRPr="00DF1BC5">
        <w:rPr>
          <w:lang w:eastAsia="ko-KR"/>
        </w:rPr>
        <w:t xml:space="preserve">regulatory </w:t>
      </w:r>
      <w:r w:rsidR="001B4953" w:rsidRPr="00DF1BC5">
        <w:rPr>
          <w:lang w:eastAsia="ko-KR"/>
        </w:rPr>
        <w:t>considerations</w:t>
      </w:r>
      <w:r w:rsidR="00830ADB" w:rsidRPr="00DF1BC5">
        <w:rPr>
          <w:lang w:eastAsia="ko-KR"/>
        </w:rPr>
        <w:t xml:space="preserve"> for spectrum sharing</w:t>
      </w:r>
      <w:r w:rsidR="001B4953" w:rsidRPr="00DF1BC5">
        <w:rPr>
          <w:lang w:eastAsia="ko-KR"/>
        </w:rPr>
        <w:t xml:space="preserve"> </w:t>
      </w:r>
      <w:r w:rsidR="003F6B2F" w:rsidRPr="00DF1BC5">
        <w:rPr>
          <w:lang w:eastAsia="ko-KR"/>
        </w:rPr>
        <w:t>a</w:t>
      </w:r>
      <w:r w:rsidR="001B4953" w:rsidRPr="00DF1BC5">
        <w:rPr>
          <w:lang w:eastAsia="ko-KR"/>
        </w:rPr>
        <w:t>re as follows:</w:t>
      </w:r>
      <w:r w:rsidR="0017498C" w:rsidRPr="00DF1BC5">
        <w:rPr>
          <w:rStyle w:val="FootnoteReference"/>
          <w:lang w:eastAsia="ko-KR"/>
        </w:rPr>
        <w:footnoteReference w:id="3"/>
      </w:r>
    </w:p>
    <w:p w14:paraId="13BF2F7E" w14:textId="3CA1C4A8" w:rsidR="003F6B2F" w:rsidRPr="00DF1BC5" w:rsidRDefault="003F6B2F" w:rsidP="003F6B2F">
      <w:pPr>
        <w:pStyle w:val="ListParagraph"/>
        <w:numPr>
          <w:ilvl w:val="0"/>
          <w:numId w:val="44"/>
        </w:numPr>
        <w:rPr>
          <w:lang w:eastAsia="ko-KR"/>
        </w:rPr>
      </w:pPr>
      <w:r w:rsidRPr="00DF1BC5">
        <w:rPr>
          <w:lang w:eastAsia="ko-KR"/>
        </w:rPr>
        <w:t xml:space="preserve">Exclusive licensing has been central to the success of mobile services and </w:t>
      </w:r>
      <w:r w:rsidR="00F35836">
        <w:rPr>
          <w:rFonts w:eastAsia="MS Mincho" w:hint="eastAsia"/>
          <w:lang w:eastAsia="ja-JP"/>
        </w:rPr>
        <w:t xml:space="preserve">should </w:t>
      </w:r>
      <w:r w:rsidRPr="00DF1BC5">
        <w:rPr>
          <w:lang w:eastAsia="ko-KR"/>
        </w:rPr>
        <w:t xml:space="preserve">continue. </w:t>
      </w:r>
      <w:r w:rsidR="00632FF4" w:rsidRPr="00DF1BC5">
        <w:rPr>
          <w:lang w:eastAsia="ko-KR"/>
        </w:rPr>
        <w:t>Any s</w:t>
      </w:r>
      <w:proofErr w:type="spellStart"/>
      <w:r w:rsidR="00632FF4" w:rsidRPr="00DF1BC5">
        <w:rPr>
          <w:lang w:val="en-GB" w:eastAsia="ko-KR"/>
        </w:rPr>
        <w:t>pectrum</w:t>
      </w:r>
      <w:proofErr w:type="spellEnd"/>
      <w:r w:rsidR="00632FF4" w:rsidRPr="00DF1BC5">
        <w:rPr>
          <w:lang w:val="en-GB" w:eastAsia="ko-KR"/>
        </w:rPr>
        <w:t xml:space="preserve"> </w:t>
      </w:r>
      <w:r w:rsidR="00EE39B5" w:rsidRPr="00DF1BC5">
        <w:rPr>
          <w:lang w:val="en-GB" w:eastAsia="ko-KR"/>
        </w:rPr>
        <w:t>sharing mechanisms should be considered as a complementary possibility</w:t>
      </w:r>
      <w:r w:rsidR="00632FF4" w:rsidRPr="00DF1BC5">
        <w:rPr>
          <w:lang w:val="en-GB" w:eastAsia="ko-KR"/>
        </w:rPr>
        <w:t>.</w:t>
      </w:r>
    </w:p>
    <w:p w14:paraId="288D9E5C" w14:textId="4D2AAC44" w:rsidR="003F6B2F" w:rsidRPr="00DF1BC5" w:rsidRDefault="003F6B2F" w:rsidP="003F6B2F">
      <w:pPr>
        <w:pStyle w:val="ListParagraph"/>
        <w:numPr>
          <w:ilvl w:val="0"/>
          <w:numId w:val="44"/>
        </w:numPr>
        <w:rPr>
          <w:lang w:val="en-GB" w:eastAsia="ko-KR"/>
        </w:rPr>
      </w:pPr>
      <w:r w:rsidRPr="00DF1BC5">
        <w:rPr>
          <w:lang w:val="en-GB" w:eastAsia="ko-KR"/>
        </w:rPr>
        <w:t xml:space="preserve">Licensing authorities should allow voluntary spectrum sharing, leasing and trading amongst </w:t>
      </w:r>
      <w:r w:rsidR="00607C04">
        <w:rPr>
          <w:rFonts w:eastAsia="MS Mincho" w:hint="eastAsia"/>
          <w:lang w:val="en-GB" w:eastAsia="ja-JP"/>
        </w:rPr>
        <w:t>MNO</w:t>
      </w:r>
      <w:r w:rsidRPr="00DF1BC5">
        <w:rPr>
          <w:lang w:val="en-GB" w:eastAsia="ko-KR"/>
        </w:rPr>
        <w:t xml:space="preserve">s and facilitate such mechanisms through clearly defined spectrum rights, long licence terms, and limited administrative costs. </w:t>
      </w:r>
    </w:p>
    <w:p w14:paraId="5C0101FE" w14:textId="25022358" w:rsidR="001B4953" w:rsidRPr="00DF1BC5" w:rsidRDefault="001B4953" w:rsidP="001B4953">
      <w:pPr>
        <w:pStyle w:val="ListParagraph"/>
        <w:numPr>
          <w:ilvl w:val="0"/>
          <w:numId w:val="44"/>
        </w:numPr>
        <w:rPr>
          <w:lang w:eastAsia="ko-KR"/>
        </w:rPr>
      </w:pPr>
      <w:r w:rsidRPr="00DF1BC5">
        <w:rPr>
          <w:lang w:eastAsia="ko-KR"/>
        </w:rPr>
        <w:t xml:space="preserve">Sharing will only be useful for </w:t>
      </w:r>
      <w:r w:rsidR="009035C1">
        <w:rPr>
          <w:rFonts w:eastAsia="MS Mincho" w:hint="eastAsia"/>
          <w:lang w:eastAsia="ja-JP"/>
        </w:rPr>
        <w:t>MNO</w:t>
      </w:r>
      <w:r w:rsidRPr="00DF1BC5">
        <w:rPr>
          <w:lang w:eastAsia="ko-KR"/>
        </w:rPr>
        <w:t xml:space="preserve">s if the proposed band is </w:t>
      </w:r>
      <w:proofErr w:type="spellStart"/>
      <w:r w:rsidRPr="00DF1BC5">
        <w:rPr>
          <w:lang w:eastAsia="ko-KR"/>
        </w:rPr>
        <w:t>harmonised</w:t>
      </w:r>
      <w:proofErr w:type="spellEnd"/>
      <w:r w:rsidRPr="00DF1BC5">
        <w:rPr>
          <w:lang w:eastAsia="ko-KR"/>
        </w:rPr>
        <w:t xml:space="preserve"> for mobile use and is available and usable in sufficient quantities in areas and at times where needed.</w:t>
      </w:r>
    </w:p>
    <w:p w14:paraId="2DB64D8F" w14:textId="0E0571CC" w:rsidR="001B4953" w:rsidRPr="00DF1BC5" w:rsidRDefault="00D370B8" w:rsidP="001B4953">
      <w:pPr>
        <w:pStyle w:val="ListParagraph"/>
        <w:numPr>
          <w:ilvl w:val="0"/>
          <w:numId w:val="44"/>
        </w:numPr>
        <w:rPr>
          <w:lang w:eastAsia="ko-KR"/>
        </w:rPr>
      </w:pPr>
      <w:r>
        <w:rPr>
          <w:rFonts w:eastAsia="MS Mincho" w:hint="eastAsia"/>
          <w:lang w:eastAsia="ja-JP"/>
        </w:rPr>
        <w:t>MNO</w:t>
      </w:r>
      <w:r w:rsidR="001B4953" w:rsidRPr="00DF1BC5">
        <w:rPr>
          <w:lang w:eastAsia="ko-KR"/>
        </w:rPr>
        <w:t xml:space="preserve">s </w:t>
      </w:r>
      <w:proofErr w:type="spellStart"/>
      <w:r w:rsidR="001B4953" w:rsidRPr="00DF1BC5">
        <w:rPr>
          <w:lang w:eastAsia="ko-KR"/>
        </w:rPr>
        <w:t>favour</w:t>
      </w:r>
      <w:proofErr w:type="spellEnd"/>
      <w:r w:rsidR="001B4953" w:rsidRPr="00DF1BC5">
        <w:rPr>
          <w:lang w:eastAsia="ko-KR"/>
        </w:rPr>
        <w:t xml:space="preserve"> a simple sharing framework that is investment-friendly and supports reliable, high quality mobile services.</w:t>
      </w:r>
    </w:p>
    <w:p w14:paraId="45CA2A16" w14:textId="77777777" w:rsidR="00FE70A9" w:rsidRPr="005A2178" w:rsidRDefault="003F6B2F" w:rsidP="00630F7B">
      <w:pPr>
        <w:pStyle w:val="ListParagraph"/>
        <w:numPr>
          <w:ilvl w:val="0"/>
          <w:numId w:val="44"/>
        </w:numPr>
        <w:rPr>
          <w:lang w:eastAsia="ko-KR"/>
        </w:rPr>
      </w:pPr>
      <w:r w:rsidRPr="00DF1BC5">
        <w:rPr>
          <w:lang w:val="en-GB" w:eastAsia="ko-KR"/>
        </w:rPr>
        <w:t>Competition issues should be assessed considering the specific circumstances of sharing, leasing and trading agreements. Certain safe harbours can be established where the spectrum represents a small share of the market capacity or where a market share is below a certain threshold.</w:t>
      </w:r>
    </w:p>
    <w:p w14:paraId="77BD5E3D" w14:textId="77777777" w:rsidR="003F2FF8" w:rsidRPr="00DF1BC5" w:rsidRDefault="007F33A7" w:rsidP="00630F7B">
      <w:pPr>
        <w:pStyle w:val="Heading1"/>
        <w:spacing w:after="120"/>
        <w:rPr>
          <w:rStyle w:val="rynqvb"/>
        </w:rPr>
      </w:pPr>
      <w:r w:rsidRPr="00DF1BC5">
        <w:t>Case studies</w:t>
      </w:r>
      <w:r w:rsidR="00F82E13" w:rsidRPr="00DF1BC5">
        <w:t xml:space="preserve"> in APT Countries</w:t>
      </w:r>
    </w:p>
    <w:p w14:paraId="36D5389B" w14:textId="77777777" w:rsidR="005A2C76" w:rsidRPr="00FE3086" w:rsidRDefault="00C66662" w:rsidP="00630F7B">
      <w:pPr>
        <w:pStyle w:val="Heading2"/>
        <w:spacing w:after="120"/>
      </w:pPr>
      <w:r>
        <w:rPr>
          <w:rFonts w:eastAsia="MS Mincho" w:hint="eastAsia"/>
          <w:lang w:eastAsia="ja-JP"/>
        </w:rPr>
        <w:t xml:space="preserve"> </w:t>
      </w:r>
      <w:r w:rsidR="005A2C76">
        <w:t>Vietnam</w:t>
      </w:r>
    </w:p>
    <w:p w14:paraId="2CE96242" w14:textId="77777777" w:rsidR="005A2C76" w:rsidRPr="005A2C76" w:rsidRDefault="005A2C76" w:rsidP="00630F7B">
      <w:pPr>
        <w:pStyle w:val="ListParagraph"/>
        <w:numPr>
          <w:ilvl w:val="0"/>
          <w:numId w:val="39"/>
        </w:numPr>
      </w:pPr>
      <w:r w:rsidRPr="005A2C76">
        <w:t>Policy and Regulations in the Telecommunications Law:</w:t>
      </w:r>
    </w:p>
    <w:p w14:paraId="106B508D" w14:textId="77777777" w:rsidR="005A2C76" w:rsidRDefault="005A2C76" w:rsidP="00DF1BC5">
      <w:pPr>
        <w:ind w:leftChars="100" w:left="240"/>
        <w:rPr>
          <w:rStyle w:val="rynqvb"/>
          <w:lang w:val="en"/>
        </w:rPr>
      </w:pPr>
      <w:r>
        <w:rPr>
          <w:i/>
          <w:iCs/>
        </w:rPr>
        <w:t xml:space="preserve">- </w:t>
      </w:r>
      <w:r>
        <w:rPr>
          <w:rStyle w:val="rynqvb"/>
          <w:lang w:val="en"/>
        </w:rPr>
        <w:t xml:space="preserve">The sharing of telecommunications infrastructure is carried out through contracts </w:t>
      </w:r>
      <w:proofErr w:type="gramStart"/>
      <w:r>
        <w:rPr>
          <w:rStyle w:val="rynqvb"/>
          <w:lang w:val="en"/>
        </w:rPr>
        <w:t>on the basis of</w:t>
      </w:r>
      <w:proofErr w:type="gramEnd"/>
      <w:r>
        <w:rPr>
          <w:rStyle w:val="rynqvb"/>
          <w:lang w:val="en"/>
        </w:rPr>
        <w:t xml:space="preserve"> ensuring the legitimate rights and interests of the parties involved.</w:t>
      </w:r>
    </w:p>
    <w:p w14:paraId="7FFDEB23" w14:textId="77777777" w:rsidR="005A2C76" w:rsidRDefault="005A2C76" w:rsidP="00DF1BC5">
      <w:pPr>
        <w:ind w:leftChars="100" w:left="240"/>
        <w:rPr>
          <w:rStyle w:val="rynqvb"/>
          <w:lang w:val="en"/>
        </w:rPr>
      </w:pPr>
      <w:r>
        <w:rPr>
          <w:i/>
          <w:iCs/>
        </w:rPr>
        <w:t xml:space="preserve">- </w:t>
      </w:r>
      <w:r>
        <w:rPr>
          <w:rStyle w:val="rynqvb"/>
          <w:lang w:val="en"/>
        </w:rPr>
        <w:t>In case the parties cannot agree on the price to share telecommunications infrastructure, negotiations shall be carried out in accordance with the law on prices. In case the parties cannot agree on other contents about sharing telecommunications infrastructure, the competent state agency shall decide.</w:t>
      </w:r>
    </w:p>
    <w:p w14:paraId="4B32AD94" w14:textId="77777777" w:rsidR="005A2C76" w:rsidRPr="0007425A" w:rsidRDefault="005A2C76" w:rsidP="00DF1BC5">
      <w:pPr>
        <w:ind w:leftChars="100" w:left="240"/>
        <w:rPr>
          <w:lang w:val="vi-VN"/>
        </w:rPr>
      </w:pPr>
      <w:r>
        <w:rPr>
          <w:rStyle w:val="rynqvb"/>
          <w:lang w:val="en"/>
        </w:rPr>
        <w:t>- Roaming and MVNO: Ensure provision of services with fair, reasonable and non-discriminatory prices and related conditions; Transparent information about prices, technical standards and regulations, the quality of networks and services.</w:t>
      </w:r>
    </w:p>
    <w:p w14:paraId="7239D703" w14:textId="77777777" w:rsidR="005A2C76" w:rsidRPr="005A2C76" w:rsidRDefault="005A2C76" w:rsidP="00600348">
      <w:pPr>
        <w:pStyle w:val="ListParagraph"/>
        <w:numPr>
          <w:ilvl w:val="0"/>
          <w:numId w:val="39"/>
        </w:numPr>
      </w:pPr>
      <w:r w:rsidRPr="005A2C76">
        <w:t>Under the Telecommunications Law</w:t>
      </w:r>
      <w:r w:rsidR="00B66DBC">
        <w:t>:</w:t>
      </w:r>
    </w:p>
    <w:p w14:paraId="2FFA7C89" w14:textId="77777777" w:rsidR="005A2C76" w:rsidRDefault="005A2C76" w:rsidP="00DF1BC5">
      <w:pPr>
        <w:ind w:leftChars="100" w:left="240"/>
      </w:pPr>
      <w:r w:rsidRPr="00FE70A9">
        <w:rPr>
          <w:lang w:val="en" w:eastAsia="vi-VN"/>
        </w:rPr>
        <w:t>Active infrastructure sharing must ensure:</w:t>
      </w:r>
      <w:r>
        <w:rPr>
          <w:lang w:val="en" w:eastAsia="vi-VN"/>
        </w:rPr>
        <w:t xml:space="preserve"> </w:t>
      </w:r>
      <w:r w:rsidRPr="00FE70A9">
        <w:rPr>
          <w:lang w:val="en" w:eastAsia="vi-VN"/>
        </w:rPr>
        <w:t xml:space="preserve">Comply with the provisions of the Telecommunications Law; Comply with the </w:t>
      </w:r>
      <w:r>
        <w:rPr>
          <w:lang w:val="en" w:eastAsia="vi-VN"/>
        </w:rPr>
        <w:t>C</w:t>
      </w:r>
      <w:r w:rsidRPr="00FE70A9">
        <w:rPr>
          <w:lang w:val="en" w:eastAsia="vi-VN"/>
        </w:rPr>
        <w:t>ompetition</w:t>
      </w:r>
      <w:r>
        <w:rPr>
          <w:lang w:val="en" w:eastAsia="vi-VN"/>
        </w:rPr>
        <w:t xml:space="preserve"> Law</w:t>
      </w:r>
      <w:r w:rsidRPr="00FE70A9">
        <w:rPr>
          <w:lang w:val="en" w:eastAsia="vi-VN"/>
        </w:rPr>
        <w:t xml:space="preserve">, </w:t>
      </w:r>
      <w:r>
        <w:rPr>
          <w:lang w:val="en" w:eastAsia="vi-VN"/>
        </w:rPr>
        <w:t>the R</w:t>
      </w:r>
      <w:r w:rsidRPr="00FE70A9">
        <w:rPr>
          <w:lang w:val="en" w:eastAsia="vi-VN"/>
        </w:rPr>
        <w:t xml:space="preserve">adio </w:t>
      </w:r>
      <w:r>
        <w:rPr>
          <w:lang w:val="en" w:eastAsia="vi-VN"/>
        </w:rPr>
        <w:t>F</w:t>
      </w:r>
      <w:r w:rsidRPr="00FE70A9">
        <w:rPr>
          <w:lang w:val="en" w:eastAsia="vi-VN"/>
        </w:rPr>
        <w:t>requenc</w:t>
      </w:r>
      <w:r>
        <w:rPr>
          <w:lang w:val="en" w:eastAsia="vi-VN"/>
        </w:rPr>
        <w:t>y Law</w:t>
      </w:r>
      <w:r w:rsidRPr="00FE70A9">
        <w:rPr>
          <w:lang w:val="en" w:eastAsia="vi-VN"/>
        </w:rPr>
        <w:t xml:space="preserve"> and other relevant laws.</w:t>
      </w:r>
    </w:p>
    <w:p w14:paraId="378863B8" w14:textId="77777777" w:rsidR="00B66DBC" w:rsidRPr="00DF1BC5" w:rsidRDefault="00B66DBC" w:rsidP="00DF1BC5">
      <w:pPr>
        <w:pStyle w:val="ListParagraph"/>
        <w:numPr>
          <w:ilvl w:val="0"/>
          <w:numId w:val="39"/>
        </w:numPr>
      </w:pPr>
      <w:r w:rsidRPr="00DF1BC5">
        <w:lastRenderedPageBreak/>
        <w:t xml:space="preserve">Under the Radio Frequency Law: </w:t>
      </w:r>
    </w:p>
    <w:p w14:paraId="06665C6B" w14:textId="77777777" w:rsidR="00B66DBC" w:rsidRDefault="00B66DBC" w:rsidP="00DF1BC5">
      <w:pPr>
        <w:ind w:leftChars="100" w:left="240"/>
      </w:pPr>
      <w:r w:rsidRPr="00DF1BC5">
        <w:t>Active infrastructure sharing according to the MORAN model is feasible and does not violate the provisions of the Law on Radi</w:t>
      </w:r>
      <w:r w:rsidRPr="00DF1BC5">
        <w:rPr>
          <w:rFonts w:eastAsia="Times New Roman"/>
          <w:lang w:val="en" w:eastAsia="vi-VN"/>
        </w:rPr>
        <w:t>o Frequency, while according to the MOCN model, appropriate policies are being studied.</w:t>
      </w:r>
    </w:p>
    <w:p w14:paraId="1FF42ECB" w14:textId="4EEC9167" w:rsidR="005A2C76" w:rsidRPr="009A5942" w:rsidRDefault="005A2C76" w:rsidP="00630F7B">
      <w:pPr>
        <w:rPr>
          <w:rFonts w:eastAsia="MS Mincho"/>
          <w:lang w:eastAsia="ja-JP"/>
        </w:rPr>
      </w:pPr>
      <w:r>
        <w:rPr>
          <w:rStyle w:val="rynqvb"/>
          <w:lang w:val="en"/>
        </w:rPr>
        <w:t>There are 5 MNOs in Vietnam.</w:t>
      </w:r>
      <w:r>
        <w:rPr>
          <w:rStyle w:val="hwtze"/>
          <w:lang w:val="en"/>
        </w:rPr>
        <w:t xml:space="preserve"> </w:t>
      </w:r>
      <w:r>
        <w:rPr>
          <w:rStyle w:val="rynqvb"/>
          <w:lang w:val="en"/>
        </w:rPr>
        <w:t>Basically, they all have different domestic and international roaming agreements.</w:t>
      </w:r>
      <w:r>
        <w:rPr>
          <w:rStyle w:val="hwtze"/>
          <w:lang w:val="en"/>
        </w:rPr>
        <w:t xml:space="preserve"> </w:t>
      </w:r>
      <w:r>
        <w:rPr>
          <w:rStyle w:val="rynqvb"/>
          <w:lang w:val="en"/>
        </w:rPr>
        <w:t>For example: Viettel - Vietnam's largest network operator currently has data roaming agreements with more than 500 network operators in 213 countries/territories around the world.</w:t>
      </w:r>
      <w:r>
        <w:rPr>
          <w:rStyle w:val="hwtze"/>
          <w:lang w:val="en"/>
        </w:rPr>
        <w:t xml:space="preserve"> </w:t>
      </w:r>
      <w:r>
        <w:rPr>
          <w:rStyle w:val="rynqvb"/>
          <w:lang w:val="en"/>
        </w:rPr>
        <w:t>Viettel's international roaming service is very diverse, with many support utilities such as callback messages when roaming internationally (Roaming call back), unlimited data roaming rates</w:t>
      </w:r>
      <w:r w:rsidR="009A5942">
        <w:rPr>
          <w:rStyle w:val="rynqvb"/>
          <w:rFonts w:eastAsia="MS Mincho" w:hint="eastAsia"/>
          <w:lang w:val="en" w:eastAsia="ja-JP"/>
        </w:rPr>
        <w:t>.</w:t>
      </w:r>
    </w:p>
    <w:p w14:paraId="75B3E4E1" w14:textId="77777777" w:rsidR="00623E94" w:rsidRPr="00753E5C" w:rsidRDefault="005A2C76" w:rsidP="00630F7B">
      <w:pPr>
        <w:rPr>
          <w:lang w:val="en"/>
        </w:rPr>
      </w:pPr>
      <w:r>
        <w:rPr>
          <w:rStyle w:val="rynqvb"/>
          <w:lang w:val="en"/>
        </w:rPr>
        <w:t xml:space="preserve">Up to now, MIC-Vietnam has licensed for 5 MVNOs: Indochina Telecom, </w:t>
      </w:r>
      <w:proofErr w:type="spellStart"/>
      <w:r>
        <w:rPr>
          <w:rStyle w:val="rynqvb"/>
          <w:lang w:val="en"/>
        </w:rPr>
        <w:t>Mobicast</w:t>
      </w:r>
      <w:proofErr w:type="spellEnd"/>
      <w:r>
        <w:rPr>
          <w:rStyle w:val="rynqvb"/>
          <w:lang w:val="en"/>
        </w:rPr>
        <w:t xml:space="preserve">, ASIM, </w:t>
      </w:r>
      <w:proofErr w:type="spellStart"/>
      <w:r>
        <w:rPr>
          <w:rStyle w:val="rynqvb"/>
          <w:lang w:val="en"/>
        </w:rPr>
        <w:t>Digilife</w:t>
      </w:r>
      <w:proofErr w:type="spellEnd"/>
      <w:r>
        <w:rPr>
          <w:rStyle w:val="rynqvb"/>
          <w:lang w:val="en"/>
        </w:rPr>
        <w:t xml:space="preserve"> and FPT Retail.</w:t>
      </w:r>
      <w:r>
        <w:rPr>
          <w:rStyle w:val="hwtze"/>
          <w:lang w:val="en"/>
        </w:rPr>
        <w:t xml:space="preserve"> </w:t>
      </w:r>
      <w:proofErr w:type="gramStart"/>
      <w:r>
        <w:rPr>
          <w:rStyle w:val="rynqvb"/>
          <w:lang w:val="en"/>
        </w:rPr>
        <w:t>In particular, Indochina</w:t>
      </w:r>
      <w:proofErr w:type="gramEnd"/>
      <w:r>
        <w:rPr>
          <w:rStyle w:val="rynqvb"/>
          <w:lang w:val="en"/>
        </w:rPr>
        <w:t xml:space="preserve"> Telecom and </w:t>
      </w:r>
      <w:proofErr w:type="spellStart"/>
      <w:r>
        <w:rPr>
          <w:rStyle w:val="rynqvb"/>
          <w:lang w:val="en"/>
        </w:rPr>
        <w:t>Mobicast</w:t>
      </w:r>
      <w:proofErr w:type="spellEnd"/>
      <w:r>
        <w:rPr>
          <w:rStyle w:val="rynqvb"/>
          <w:lang w:val="en"/>
        </w:rPr>
        <w:t xml:space="preserve"> use </w:t>
      </w:r>
      <w:proofErr w:type="spellStart"/>
      <w:r>
        <w:rPr>
          <w:rStyle w:val="rynqvb"/>
          <w:lang w:val="en"/>
        </w:rPr>
        <w:t>VinaPhone's</w:t>
      </w:r>
      <w:proofErr w:type="spellEnd"/>
      <w:r>
        <w:rPr>
          <w:rStyle w:val="rynqvb"/>
          <w:lang w:val="en"/>
        </w:rPr>
        <w:t xml:space="preserve"> infrastructure, while ASIM, </w:t>
      </w:r>
      <w:proofErr w:type="spellStart"/>
      <w:r>
        <w:rPr>
          <w:rStyle w:val="rynqvb"/>
          <w:lang w:val="en"/>
        </w:rPr>
        <w:t>Digilife</w:t>
      </w:r>
      <w:proofErr w:type="spellEnd"/>
      <w:r>
        <w:rPr>
          <w:rStyle w:val="rynqvb"/>
          <w:lang w:val="en"/>
        </w:rPr>
        <w:t xml:space="preserve"> and FPT Retail networks use </w:t>
      </w:r>
      <w:proofErr w:type="spellStart"/>
      <w:r>
        <w:rPr>
          <w:rStyle w:val="rynqvb"/>
          <w:lang w:val="en"/>
        </w:rPr>
        <w:t>MobiFone's</w:t>
      </w:r>
      <w:proofErr w:type="spellEnd"/>
      <w:r>
        <w:rPr>
          <w:rStyle w:val="rynqvb"/>
          <w:lang w:val="en"/>
        </w:rPr>
        <w:t xml:space="preserve"> infrastructure.</w:t>
      </w:r>
      <w:r>
        <w:rPr>
          <w:rStyle w:val="hwtze"/>
          <w:lang w:val="en"/>
        </w:rPr>
        <w:t xml:space="preserve"> </w:t>
      </w:r>
      <w:r>
        <w:rPr>
          <w:rStyle w:val="rynqvb"/>
          <w:lang w:val="en"/>
        </w:rPr>
        <w:t>Only Viettel does not cooperate with any MVNO, even though Viettel is said to have the strongest infrastructure today.</w:t>
      </w:r>
    </w:p>
    <w:p w14:paraId="1160825A" w14:textId="77777777" w:rsidR="00623E94" w:rsidRDefault="00EA0F28" w:rsidP="00753E5C">
      <w:pPr>
        <w:pStyle w:val="Heading2"/>
        <w:spacing w:after="120"/>
      </w:pPr>
      <w:r>
        <w:rPr>
          <w:rFonts w:eastAsia="MS Mincho" w:hint="eastAsia"/>
          <w:lang w:eastAsia="ja-JP"/>
        </w:rPr>
        <w:t xml:space="preserve"> </w:t>
      </w:r>
      <w:r w:rsidR="00623E94">
        <w:t>China</w:t>
      </w:r>
    </w:p>
    <w:p w14:paraId="3E757EDA" w14:textId="77777777" w:rsidR="00623E94" w:rsidRDefault="00623E94" w:rsidP="00630F7B">
      <w:pPr>
        <w:rPr>
          <w:lang w:eastAsia="zh-CN"/>
        </w:rPr>
      </w:pPr>
      <w:r w:rsidRPr="00994FB9">
        <w:rPr>
          <w:shd w:val="clear" w:color="auto" w:fill="FFFFFF"/>
          <w:lang w:eastAsia="ko-KR"/>
        </w:rPr>
        <w:t xml:space="preserve">The </w:t>
      </w:r>
      <w:r>
        <w:rPr>
          <w:lang w:eastAsia="zh-CN"/>
        </w:rPr>
        <w:t xml:space="preserve">Ministry of Industry and Information Technology(MIIT) of the People’s Republic of China has published “Notice </w:t>
      </w:r>
      <w:r w:rsidRPr="00994FB9">
        <w:rPr>
          <w:lang w:eastAsia="zh-CN"/>
        </w:rPr>
        <w:t>on S</w:t>
      </w:r>
      <w:r>
        <w:rPr>
          <w:lang w:eastAsia="zh-CN"/>
        </w:rPr>
        <w:t xml:space="preserve">upervision of </w:t>
      </w:r>
      <w:r w:rsidRPr="00994FB9">
        <w:rPr>
          <w:lang w:eastAsia="zh-CN"/>
        </w:rPr>
        <w:t>Radio Frequency Sharing in 5G Systems</w:t>
      </w:r>
      <w:r>
        <w:rPr>
          <w:lang w:eastAsia="zh-CN"/>
        </w:rPr>
        <w:t>” in 2021, which proposed two methods of spectrum sharing among IMT operators: (1) spectrum sharing on base station side, (2) spectrum sharing on user terminal side</w:t>
      </w:r>
      <w:r w:rsidR="00D15172">
        <w:rPr>
          <w:rStyle w:val="FootnoteReference"/>
          <w:lang w:eastAsia="zh-CN"/>
        </w:rPr>
        <w:footnoteReference w:id="4"/>
      </w:r>
      <w:r>
        <w:rPr>
          <w:lang w:eastAsia="zh-CN"/>
        </w:rPr>
        <w:t>.</w:t>
      </w:r>
    </w:p>
    <w:p w14:paraId="06258F3F" w14:textId="77777777" w:rsidR="00623E94" w:rsidRDefault="00623E94" w:rsidP="00630F7B">
      <w:pPr>
        <w:pStyle w:val="ListParagraph"/>
        <w:numPr>
          <w:ilvl w:val="0"/>
          <w:numId w:val="41"/>
        </w:numPr>
        <w:rPr>
          <w:lang w:eastAsia="zh-CN"/>
        </w:rPr>
      </w:pPr>
      <w:r>
        <w:rPr>
          <w:rFonts w:hint="eastAsia"/>
          <w:lang w:eastAsia="zh-CN"/>
        </w:rPr>
        <w:t>s</w:t>
      </w:r>
      <w:r>
        <w:rPr>
          <w:lang w:eastAsia="zh-CN"/>
        </w:rPr>
        <w:t>pectrum sharing on the base station side,</w:t>
      </w:r>
      <w:r w:rsidRPr="00F240DD">
        <w:t xml:space="preserve"> </w:t>
      </w:r>
      <w:r>
        <w:rPr>
          <w:lang w:eastAsia="zh-CN"/>
        </w:rPr>
        <w:t>t</w:t>
      </w:r>
      <w:r w:rsidRPr="00F240DD">
        <w:rPr>
          <w:lang w:eastAsia="zh-CN"/>
        </w:rPr>
        <w:t>he</w:t>
      </w:r>
      <w:r>
        <w:rPr>
          <w:lang w:eastAsia="zh-CN"/>
        </w:rPr>
        <w:t xml:space="preserve"> </w:t>
      </w:r>
      <w:r w:rsidRPr="00F240DD">
        <w:rPr>
          <w:lang w:eastAsia="zh-CN"/>
        </w:rPr>
        <w:t>5G base station</w:t>
      </w:r>
      <w:r>
        <w:rPr>
          <w:lang w:eastAsia="zh-CN"/>
        </w:rPr>
        <w:t>s of one</w:t>
      </w:r>
      <w:r w:rsidRPr="00F240DD">
        <w:rPr>
          <w:lang w:eastAsia="zh-CN"/>
        </w:rPr>
        <w:t xml:space="preserve"> telecommunication operat</w:t>
      </w:r>
      <w:r>
        <w:rPr>
          <w:lang w:eastAsia="zh-CN"/>
        </w:rPr>
        <w:t>or</w:t>
      </w:r>
      <w:r w:rsidRPr="00F240DD">
        <w:rPr>
          <w:lang w:eastAsia="zh-CN"/>
        </w:rPr>
        <w:t xml:space="preserve"> </w:t>
      </w:r>
      <w:r>
        <w:rPr>
          <w:lang w:eastAsia="zh-CN"/>
        </w:rPr>
        <w:t xml:space="preserve">A </w:t>
      </w:r>
      <w:r w:rsidRPr="00F240DD">
        <w:rPr>
          <w:lang w:eastAsia="zh-CN"/>
        </w:rPr>
        <w:t xml:space="preserve">change the transmission or reception frequency range specified in </w:t>
      </w:r>
      <w:r>
        <w:rPr>
          <w:lang w:eastAsia="zh-CN"/>
        </w:rPr>
        <w:t xml:space="preserve">its </w:t>
      </w:r>
      <w:r w:rsidRPr="00F240DD">
        <w:rPr>
          <w:lang w:eastAsia="zh-CN"/>
        </w:rPr>
        <w:t>radio station license</w:t>
      </w:r>
      <w:r>
        <w:rPr>
          <w:lang w:eastAsia="zh-CN"/>
        </w:rPr>
        <w:t>s,</w:t>
      </w:r>
      <w:r w:rsidRPr="00F240DD">
        <w:rPr>
          <w:lang w:eastAsia="zh-CN"/>
        </w:rPr>
        <w:t xml:space="preserve"> provid</w:t>
      </w:r>
      <w:r>
        <w:rPr>
          <w:lang w:eastAsia="zh-CN"/>
        </w:rPr>
        <w:t>ing</w:t>
      </w:r>
      <w:r w:rsidRPr="00F240DD">
        <w:rPr>
          <w:lang w:eastAsia="zh-CN"/>
        </w:rPr>
        <w:t xml:space="preserve"> 5G services </w:t>
      </w:r>
      <w:r>
        <w:rPr>
          <w:lang w:eastAsia="zh-CN"/>
        </w:rPr>
        <w:t xml:space="preserve">to its own user terminals and the user terminals of </w:t>
      </w:r>
      <w:r w:rsidRPr="00F240DD">
        <w:rPr>
          <w:lang w:eastAsia="zh-CN"/>
        </w:rPr>
        <w:t xml:space="preserve">other </w:t>
      </w:r>
      <w:r>
        <w:rPr>
          <w:lang w:eastAsia="zh-CN"/>
        </w:rPr>
        <w:t>operators (B or C) using the 5G frequency licensed to other operators. By this sharing method,</w:t>
      </w:r>
      <w:r>
        <w:t xml:space="preserve"> t</w:t>
      </w:r>
      <w:r>
        <w:rPr>
          <w:lang w:eastAsia="zh-CN"/>
        </w:rPr>
        <w:t xml:space="preserve">he </w:t>
      </w:r>
      <w:r w:rsidRPr="00EF2B0E">
        <w:rPr>
          <w:lang w:eastAsia="zh-CN"/>
        </w:rPr>
        <w:t>telecommunication operat</w:t>
      </w:r>
      <w:r>
        <w:rPr>
          <w:lang w:eastAsia="zh-CN"/>
        </w:rPr>
        <w:t>ors sharing the frequency</w:t>
      </w:r>
      <w:r w:rsidRPr="00EF2B0E">
        <w:rPr>
          <w:lang w:eastAsia="zh-CN"/>
        </w:rPr>
        <w:t xml:space="preserve"> shall apply for </w:t>
      </w:r>
      <w:r>
        <w:rPr>
          <w:lang w:eastAsia="zh-CN"/>
        </w:rPr>
        <w:t xml:space="preserve">a new </w:t>
      </w:r>
      <w:r w:rsidRPr="00EF2B0E">
        <w:rPr>
          <w:lang w:eastAsia="zh-CN"/>
        </w:rPr>
        <w:t xml:space="preserve">radio frequency </w:t>
      </w:r>
      <w:r>
        <w:rPr>
          <w:lang w:eastAsia="zh-CN"/>
        </w:rPr>
        <w:t>sharing</w:t>
      </w:r>
      <w:r w:rsidRPr="00EF2B0E">
        <w:rPr>
          <w:lang w:eastAsia="zh-CN"/>
        </w:rPr>
        <w:t xml:space="preserve"> license</w:t>
      </w:r>
      <w:r>
        <w:rPr>
          <w:lang w:eastAsia="zh-CN"/>
        </w:rPr>
        <w:t>.</w:t>
      </w:r>
    </w:p>
    <w:p w14:paraId="69F5266C" w14:textId="77777777" w:rsidR="00623E94" w:rsidRDefault="00623E94" w:rsidP="00630F7B">
      <w:pPr>
        <w:pStyle w:val="ListParagraph"/>
        <w:numPr>
          <w:ilvl w:val="0"/>
          <w:numId w:val="41"/>
        </w:numPr>
        <w:rPr>
          <w:lang w:eastAsia="zh-CN"/>
        </w:rPr>
      </w:pPr>
      <w:r w:rsidRPr="00822F9D">
        <w:rPr>
          <w:lang w:eastAsia="zh-CN"/>
        </w:rPr>
        <w:t>spectrum sharing on user terminal side, the user terminals of one</w:t>
      </w:r>
      <w:r>
        <w:rPr>
          <w:lang w:eastAsia="zh-CN"/>
        </w:rPr>
        <w:t xml:space="preserve"> telecommunication</w:t>
      </w:r>
      <w:r w:rsidRPr="00822F9D">
        <w:rPr>
          <w:lang w:eastAsia="zh-CN"/>
        </w:rPr>
        <w:t xml:space="preserve"> operator </w:t>
      </w:r>
      <w:r>
        <w:rPr>
          <w:lang w:eastAsia="zh-CN"/>
        </w:rPr>
        <w:t xml:space="preserve">A </w:t>
      </w:r>
      <w:r w:rsidRPr="00822F9D">
        <w:rPr>
          <w:lang w:eastAsia="zh-CN"/>
        </w:rPr>
        <w:t xml:space="preserve">change the transmission or reception frequency range, </w:t>
      </w:r>
      <w:r>
        <w:rPr>
          <w:lang w:eastAsia="zh-CN"/>
        </w:rPr>
        <w:t>connect</w:t>
      </w:r>
      <w:r w:rsidRPr="00822F9D">
        <w:rPr>
          <w:lang w:eastAsia="zh-CN"/>
        </w:rPr>
        <w:t xml:space="preserve"> to 5G base stations owned by other telecommunication</w:t>
      </w:r>
      <w:r>
        <w:rPr>
          <w:lang w:eastAsia="zh-CN"/>
        </w:rPr>
        <w:t xml:space="preserve"> operators (B or C)</w:t>
      </w:r>
      <w:r w:rsidRPr="00822F9D">
        <w:rPr>
          <w:lang w:eastAsia="zh-CN"/>
        </w:rPr>
        <w:t xml:space="preserve">, and </w:t>
      </w:r>
      <w:r>
        <w:rPr>
          <w:lang w:eastAsia="zh-CN"/>
        </w:rPr>
        <w:t>access</w:t>
      </w:r>
      <w:r w:rsidRPr="00822F9D">
        <w:rPr>
          <w:lang w:eastAsia="zh-CN"/>
        </w:rPr>
        <w:t xml:space="preserve"> 5G service from other operator</w:t>
      </w:r>
      <w:r>
        <w:rPr>
          <w:lang w:eastAsia="zh-CN"/>
        </w:rPr>
        <w:t>s</w:t>
      </w:r>
      <w:r w:rsidRPr="00822F9D">
        <w:rPr>
          <w:lang w:eastAsia="zh-CN"/>
        </w:rPr>
        <w:t xml:space="preserve">. </w:t>
      </w:r>
      <w:r>
        <w:rPr>
          <w:lang w:eastAsia="zh-CN"/>
        </w:rPr>
        <w:t>By</w:t>
      </w:r>
      <w:r w:rsidRPr="00822F9D">
        <w:rPr>
          <w:lang w:eastAsia="zh-CN"/>
        </w:rPr>
        <w:t xml:space="preserve"> this sharing method, the base stations of other operat</w:t>
      </w:r>
      <w:r>
        <w:rPr>
          <w:lang w:eastAsia="zh-CN"/>
        </w:rPr>
        <w:t>ors (B or C)</w:t>
      </w:r>
      <w:r w:rsidRPr="00822F9D">
        <w:rPr>
          <w:lang w:eastAsia="zh-CN"/>
        </w:rPr>
        <w:t xml:space="preserve"> </w:t>
      </w:r>
      <w:r>
        <w:rPr>
          <w:lang w:eastAsia="zh-CN"/>
        </w:rPr>
        <w:t>maintain</w:t>
      </w:r>
      <w:r w:rsidRPr="00F240DD">
        <w:rPr>
          <w:lang w:eastAsia="zh-CN"/>
        </w:rPr>
        <w:t xml:space="preserve"> the transmission or reception frequency range specified in </w:t>
      </w:r>
      <w:r>
        <w:rPr>
          <w:lang w:eastAsia="zh-CN"/>
        </w:rPr>
        <w:t xml:space="preserve">its </w:t>
      </w:r>
      <w:r w:rsidRPr="00F240DD">
        <w:rPr>
          <w:lang w:eastAsia="zh-CN"/>
        </w:rPr>
        <w:t>radio station license</w:t>
      </w:r>
      <w:r>
        <w:rPr>
          <w:lang w:eastAsia="zh-CN"/>
        </w:rPr>
        <w:t>s</w:t>
      </w:r>
      <w:r w:rsidRPr="00BD6DC3">
        <w:rPr>
          <w:lang w:eastAsia="zh-CN"/>
        </w:rPr>
        <w:t>.</w:t>
      </w:r>
    </w:p>
    <w:p w14:paraId="5A6CCB52" w14:textId="77777777" w:rsidR="007F78B8" w:rsidRDefault="007F78B8" w:rsidP="007F78B8">
      <w:pPr>
        <w:pStyle w:val="ListParagraph"/>
        <w:ind w:left="0"/>
        <w:rPr>
          <w:lang w:eastAsia="zh-CN"/>
        </w:rPr>
      </w:pPr>
      <w:r>
        <w:rPr>
          <w:rFonts w:hint="eastAsia"/>
          <w:lang w:eastAsia="zh-CN"/>
        </w:rPr>
        <w:t>The IMT operators planning to carry out spectrum sharing on the base station side shall apply to MIIT for the change of radio frequency use licenses, and submit the agreement on spectrum sharing on the base station side and other necessary materials, including but not limited to the following:</w:t>
      </w:r>
    </w:p>
    <w:p w14:paraId="1AC0F091" w14:textId="77777777" w:rsidR="007F78B8" w:rsidRDefault="007F78B8" w:rsidP="005A2178">
      <w:pPr>
        <w:pStyle w:val="ListParagraph"/>
        <w:numPr>
          <w:ilvl w:val="0"/>
          <w:numId w:val="52"/>
        </w:numPr>
        <w:ind w:leftChars="100" w:left="240"/>
        <w:rPr>
          <w:lang w:eastAsia="zh-CN"/>
        </w:rPr>
      </w:pPr>
      <w:r>
        <w:rPr>
          <w:lang w:eastAsia="zh-CN"/>
        </w:rPr>
        <w:t xml:space="preserve">Specific frequency range involved in </w:t>
      </w:r>
      <w:r>
        <w:rPr>
          <w:rFonts w:hint="eastAsia"/>
          <w:lang w:eastAsia="zh-CN"/>
        </w:rPr>
        <w:t xml:space="preserve">spectrum sharing on </w:t>
      </w:r>
      <w:r>
        <w:rPr>
          <w:lang w:eastAsia="zh-CN"/>
        </w:rPr>
        <w:t>base station</w:t>
      </w:r>
      <w:r>
        <w:rPr>
          <w:rFonts w:hint="eastAsia"/>
          <w:lang w:eastAsia="zh-CN"/>
        </w:rPr>
        <w:t xml:space="preserve"> </w:t>
      </w:r>
      <w:proofErr w:type="gramStart"/>
      <w:r>
        <w:rPr>
          <w:rFonts w:hint="eastAsia"/>
          <w:lang w:eastAsia="zh-CN"/>
        </w:rPr>
        <w:t>side</w:t>
      </w:r>
      <w:r>
        <w:rPr>
          <w:lang w:eastAsia="zh-CN"/>
        </w:rPr>
        <w:t>;</w:t>
      </w:r>
      <w:proofErr w:type="gramEnd"/>
    </w:p>
    <w:p w14:paraId="76D9B41A" w14:textId="77777777" w:rsidR="007F78B8" w:rsidRDefault="007F78B8" w:rsidP="005A2178">
      <w:pPr>
        <w:pStyle w:val="ListParagraph"/>
        <w:numPr>
          <w:ilvl w:val="0"/>
          <w:numId w:val="52"/>
        </w:numPr>
        <w:ind w:leftChars="100" w:left="240"/>
        <w:rPr>
          <w:lang w:eastAsia="zh-CN"/>
        </w:rPr>
      </w:pPr>
      <w:r>
        <w:rPr>
          <w:lang w:eastAsia="zh-CN"/>
        </w:rPr>
        <w:t xml:space="preserve">The frequency use rights and obligations of the base station </w:t>
      </w:r>
      <w:r>
        <w:rPr>
          <w:rFonts w:hint="eastAsia"/>
          <w:lang w:eastAsia="zh-CN"/>
        </w:rPr>
        <w:t>spectrum</w:t>
      </w:r>
      <w:r>
        <w:rPr>
          <w:lang w:eastAsia="zh-CN"/>
        </w:rPr>
        <w:t xml:space="preserve"> sharing </w:t>
      </w:r>
      <w:proofErr w:type="gramStart"/>
      <w:r>
        <w:rPr>
          <w:rFonts w:hint="eastAsia"/>
          <w:lang w:eastAsia="zh-CN"/>
        </w:rPr>
        <w:t>operator</w:t>
      </w:r>
      <w:r>
        <w:rPr>
          <w:lang w:eastAsia="zh-CN"/>
        </w:rPr>
        <w:t>s;</w:t>
      </w:r>
      <w:proofErr w:type="gramEnd"/>
    </w:p>
    <w:p w14:paraId="18DF49F3" w14:textId="77777777" w:rsidR="007F78B8" w:rsidRDefault="007F78B8" w:rsidP="005A2178">
      <w:pPr>
        <w:pStyle w:val="ListParagraph"/>
        <w:numPr>
          <w:ilvl w:val="0"/>
          <w:numId w:val="52"/>
        </w:numPr>
        <w:ind w:leftChars="100" w:left="240"/>
        <w:rPr>
          <w:lang w:eastAsia="zh-CN"/>
        </w:rPr>
      </w:pPr>
      <w:r>
        <w:rPr>
          <w:rFonts w:hint="eastAsia"/>
          <w:lang w:eastAsia="zh-CN"/>
        </w:rPr>
        <w:t>Spectrum</w:t>
      </w:r>
      <w:r>
        <w:rPr>
          <w:lang w:eastAsia="zh-CN"/>
        </w:rPr>
        <w:t xml:space="preserve"> sharing </w:t>
      </w:r>
      <w:proofErr w:type="gramStart"/>
      <w:r>
        <w:rPr>
          <w:rFonts w:hint="eastAsia"/>
          <w:lang w:eastAsia="zh-CN"/>
        </w:rPr>
        <w:t>region</w:t>
      </w:r>
      <w:r>
        <w:rPr>
          <w:lang w:eastAsia="zh-CN"/>
        </w:rPr>
        <w:t>;</w:t>
      </w:r>
      <w:proofErr w:type="gramEnd"/>
    </w:p>
    <w:p w14:paraId="4924B689" w14:textId="77777777" w:rsidR="007F78B8" w:rsidRDefault="007F78B8" w:rsidP="005A2178">
      <w:pPr>
        <w:pStyle w:val="ListParagraph"/>
        <w:numPr>
          <w:ilvl w:val="0"/>
          <w:numId w:val="52"/>
        </w:numPr>
        <w:ind w:leftChars="100" w:left="240"/>
        <w:rPr>
          <w:lang w:eastAsia="zh-CN"/>
        </w:rPr>
      </w:pPr>
      <w:r>
        <w:rPr>
          <w:lang w:eastAsia="zh-CN"/>
        </w:rPr>
        <w:t xml:space="preserve">Spectrum sharing </w:t>
      </w:r>
      <w:proofErr w:type="gramStart"/>
      <w:r>
        <w:rPr>
          <w:rFonts w:hint="eastAsia"/>
          <w:lang w:eastAsia="zh-CN"/>
        </w:rPr>
        <w:t>period</w:t>
      </w:r>
      <w:r>
        <w:rPr>
          <w:lang w:eastAsia="zh-CN"/>
        </w:rPr>
        <w:t>;</w:t>
      </w:r>
      <w:proofErr w:type="gramEnd"/>
    </w:p>
    <w:p w14:paraId="207B75A5" w14:textId="77777777" w:rsidR="007F78B8" w:rsidRDefault="007F78B8" w:rsidP="005A2178">
      <w:pPr>
        <w:pStyle w:val="ListParagraph"/>
        <w:numPr>
          <w:ilvl w:val="0"/>
          <w:numId w:val="52"/>
        </w:numPr>
        <w:ind w:leftChars="100" w:left="240"/>
        <w:rPr>
          <w:lang w:eastAsia="zh-CN"/>
        </w:rPr>
      </w:pPr>
      <w:r>
        <w:rPr>
          <w:lang w:eastAsia="zh-CN"/>
        </w:rPr>
        <w:t xml:space="preserve">The </w:t>
      </w:r>
      <w:r>
        <w:rPr>
          <w:rFonts w:hint="eastAsia"/>
          <w:lang w:eastAsia="zh-CN"/>
        </w:rPr>
        <w:t>IMT operators</w:t>
      </w:r>
      <w:r>
        <w:rPr>
          <w:lang w:eastAsia="zh-CN"/>
        </w:rPr>
        <w:t xml:space="preserve"> applying for the 5G base station radio station license in the </w:t>
      </w:r>
      <w:r>
        <w:rPr>
          <w:rFonts w:hint="eastAsia"/>
          <w:lang w:eastAsia="zh-CN"/>
        </w:rPr>
        <w:t>spectrum</w:t>
      </w:r>
      <w:r>
        <w:rPr>
          <w:lang w:eastAsia="zh-CN"/>
        </w:rPr>
        <w:t xml:space="preserve"> sharing region shall bear the main responsibility for interference coordination between the 5G base station and other legitimate radio stations, as well as the main responsibility for </w:t>
      </w:r>
      <w:r>
        <w:rPr>
          <w:lang w:eastAsia="zh-CN"/>
        </w:rPr>
        <w:lastRenderedPageBreak/>
        <w:t xml:space="preserve">international coordination and declaration of radio frequencies of relevant 5G base stations in border </w:t>
      </w:r>
      <w:proofErr w:type="gramStart"/>
      <w:r>
        <w:rPr>
          <w:lang w:eastAsia="zh-CN"/>
        </w:rPr>
        <w:t>areas;</w:t>
      </w:r>
      <w:proofErr w:type="gramEnd"/>
    </w:p>
    <w:p w14:paraId="3B5D068B" w14:textId="77777777" w:rsidR="007F78B8" w:rsidRDefault="007F78B8" w:rsidP="005A2178">
      <w:pPr>
        <w:pStyle w:val="ListParagraph"/>
        <w:numPr>
          <w:ilvl w:val="0"/>
          <w:numId w:val="52"/>
        </w:numPr>
        <w:ind w:leftChars="100" w:left="240"/>
        <w:rPr>
          <w:lang w:eastAsia="zh-CN"/>
        </w:rPr>
      </w:pPr>
      <w:r>
        <w:rPr>
          <w:lang w:eastAsia="zh-CN"/>
        </w:rPr>
        <w:t xml:space="preserve">Apportionment ratio of frequency </w:t>
      </w:r>
      <w:r>
        <w:rPr>
          <w:rFonts w:hint="eastAsia"/>
          <w:lang w:eastAsia="zh-CN"/>
        </w:rPr>
        <w:t>usage</w:t>
      </w:r>
      <w:r>
        <w:rPr>
          <w:lang w:eastAsia="zh-CN"/>
        </w:rPr>
        <w:t xml:space="preserve"> fees </w:t>
      </w:r>
      <w:r>
        <w:rPr>
          <w:rFonts w:hint="eastAsia"/>
          <w:lang w:eastAsia="zh-CN"/>
        </w:rPr>
        <w:t>for</w:t>
      </w:r>
      <w:r>
        <w:rPr>
          <w:lang w:eastAsia="zh-CN"/>
        </w:rPr>
        <w:t xml:space="preserve"> all </w:t>
      </w:r>
      <w:r>
        <w:rPr>
          <w:rFonts w:hint="eastAsia"/>
          <w:lang w:eastAsia="zh-CN"/>
        </w:rPr>
        <w:t>operator</w:t>
      </w:r>
      <w:r>
        <w:rPr>
          <w:lang w:eastAsia="zh-CN"/>
        </w:rPr>
        <w:t>s</w:t>
      </w:r>
      <w:r>
        <w:rPr>
          <w:rFonts w:hint="eastAsia"/>
          <w:lang w:eastAsia="zh-CN"/>
        </w:rPr>
        <w:t xml:space="preserve"> </w:t>
      </w:r>
      <w:proofErr w:type="gramStart"/>
      <w:r>
        <w:rPr>
          <w:rFonts w:hint="eastAsia"/>
          <w:lang w:eastAsia="zh-CN"/>
        </w:rPr>
        <w:t>involved</w:t>
      </w:r>
      <w:r>
        <w:rPr>
          <w:lang w:eastAsia="zh-CN"/>
        </w:rPr>
        <w:t>;</w:t>
      </w:r>
      <w:proofErr w:type="gramEnd"/>
    </w:p>
    <w:p w14:paraId="7AD0E6E6" w14:textId="77777777" w:rsidR="007F78B8" w:rsidRDefault="007F78B8" w:rsidP="005A2178">
      <w:pPr>
        <w:pStyle w:val="ListParagraph"/>
        <w:numPr>
          <w:ilvl w:val="0"/>
          <w:numId w:val="52"/>
        </w:numPr>
        <w:ind w:leftChars="100" w:left="240"/>
        <w:rPr>
          <w:lang w:eastAsia="zh-CN"/>
        </w:rPr>
      </w:pPr>
      <w:r>
        <w:rPr>
          <w:lang w:eastAsia="zh-CN"/>
        </w:rPr>
        <w:t xml:space="preserve">Conditions for termination of </w:t>
      </w:r>
      <w:r>
        <w:rPr>
          <w:rFonts w:hint="eastAsia"/>
          <w:lang w:eastAsia="zh-CN"/>
        </w:rPr>
        <w:t>spectrum</w:t>
      </w:r>
      <w:r>
        <w:rPr>
          <w:lang w:eastAsia="zh-CN"/>
        </w:rPr>
        <w:t xml:space="preserve"> sharing, ownership of shared frequency use right after termination of spectrum sharing and related aftermath </w:t>
      </w:r>
      <w:proofErr w:type="gramStart"/>
      <w:r>
        <w:rPr>
          <w:lang w:eastAsia="zh-CN"/>
        </w:rPr>
        <w:t>matters;</w:t>
      </w:r>
      <w:proofErr w:type="gramEnd"/>
    </w:p>
    <w:p w14:paraId="3B36EEAE" w14:textId="77777777" w:rsidR="007F78B8" w:rsidRDefault="007F78B8" w:rsidP="005A2178">
      <w:pPr>
        <w:pStyle w:val="ListParagraph"/>
        <w:numPr>
          <w:ilvl w:val="0"/>
          <w:numId w:val="52"/>
        </w:numPr>
        <w:ind w:leftChars="100" w:left="240"/>
        <w:rPr>
          <w:lang w:eastAsia="zh-CN"/>
        </w:rPr>
      </w:pPr>
      <w:r>
        <w:rPr>
          <w:lang w:eastAsia="zh-CN"/>
        </w:rPr>
        <w:t>Other contents stipulated by laws and administrative regulations.</w:t>
      </w:r>
    </w:p>
    <w:p w14:paraId="456F5D0E" w14:textId="77777777" w:rsidR="007F78B8" w:rsidRDefault="007F78B8" w:rsidP="007F78B8">
      <w:pPr>
        <w:pStyle w:val="ListParagraph"/>
        <w:numPr>
          <w:ilvl w:val="255"/>
          <w:numId w:val="0"/>
        </w:numPr>
        <w:rPr>
          <w:lang w:eastAsia="zh-CN"/>
        </w:rPr>
      </w:pPr>
      <w:r>
        <w:rPr>
          <w:lang w:eastAsia="zh-CN"/>
        </w:rPr>
        <w:t>The IMT operators that plans to carry out spectrum sharing on the user terminal side</w:t>
      </w:r>
      <w:r>
        <w:rPr>
          <w:rFonts w:hint="eastAsia"/>
          <w:lang w:eastAsia="zh-CN"/>
        </w:rPr>
        <w:t xml:space="preserve"> shall jointly submit materials to MIIT to clarify the specific frequency range, sharing region, sharing period, sharing termination conditions and other matters involved in spectrum sharing on user terminals. There is no need to apply for licenses when </w:t>
      </w:r>
      <w:proofErr w:type="gramStart"/>
      <w:r>
        <w:rPr>
          <w:rFonts w:hint="eastAsia"/>
          <w:lang w:eastAsia="zh-CN"/>
        </w:rPr>
        <w:t>setting</w:t>
      </w:r>
      <w:proofErr w:type="gramEnd"/>
      <w:r>
        <w:rPr>
          <w:rFonts w:hint="eastAsia"/>
          <w:lang w:eastAsia="zh-CN"/>
        </w:rPr>
        <w:t xml:space="preserve"> and using user terminals. The radio station licenses handling, frequency usage fee payment, radio frequency utilization rate, </w:t>
      </w:r>
      <w:proofErr w:type="spellStart"/>
      <w:r>
        <w:rPr>
          <w:rFonts w:hint="eastAsia"/>
          <w:lang w:eastAsia="zh-CN"/>
        </w:rPr>
        <w:t>etc</w:t>
      </w:r>
      <w:proofErr w:type="spellEnd"/>
      <w:r>
        <w:rPr>
          <w:rFonts w:hint="eastAsia"/>
          <w:lang w:eastAsia="zh-CN"/>
        </w:rPr>
        <w:t xml:space="preserve"> when operators carry out spectrum sharing on the user terminal side shall be implemented in accordance with the current regulations of exclusive frequency licensing.</w:t>
      </w:r>
    </w:p>
    <w:p w14:paraId="5C51C5BD" w14:textId="54C7B5D7" w:rsidR="007F78B8" w:rsidRDefault="007F78B8" w:rsidP="007F78B8">
      <w:pPr>
        <w:pStyle w:val="ListParagraph"/>
        <w:numPr>
          <w:ilvl w:val="255"/>
          <w:numId w:val="0"/>
        </w:numPr>
        <w:rPr>
          <w:lang w:eastAsia="zh-CN"/>
        </w:rPr>
      </w:pPr>
      <w:r>
        <w:rPr>
          <w:lang w:eastAsia="zh-CN"/>
        </w:rPr>
        <w:t>Furthermore, China is also promoting the shared construction and utilization of telecommunications infrastructure. In 2023, multiple departments in China jointly issued the Implementation Opinions on Further Deepening the Co-construction and Sharing of Telecommunications Infrastructure to Promote the High-Quality Development of "Dual-Gigabit"</w:t>
      </w:r>
      <w:r>
        <w:rPr>
          <w:rStyle w:val="FootnoteReference"/>
          <w:lang w:eastAsia="zh-CN"/>
        </w:rPr>
        <w:footnoteReference w:id="5"/>
      </w:r>
      <w:r>
        <w:rPr>
          <w:lang w:eastAsia="zh-CN"/>
        </w:rPr>
        <w:t xml:space="preserve"> Networks, which stipulated that</w:t>
      </w:r>
    </w:p>
    <w:p w14:paraId="481BD3D4" w14:textId="77777777" w:rsidR="007F78B8" w:rsidRDefault="007F78B8" w:rsidP="007F78B8">
      <w:pPr>
        <w:pStyle w:val="ListParagraph"/>
        <w:numPr>
          <w:ilvl w:val="0"/>
          <w:numId w:val="53"/>
        </w:numPr>
        <w:rPr>
          <w:lang w:eastAsia="zh-CN"/>
        </w:rPr>
      </w:pPr>
      <w:r>
        <w:rPr>
          <w:lang w:eastAsia="zh-CN"/>
        </w:rPr>
        <w:t>Promoting Coordinated and Intensive Construction of "Dual-Gigabit" Networks: Strictly implement the co-construction and sharing procedures for facilities such as utility poles, ducts, equipment rooms, optical cables, and base station access transmission lines. Support the co-construction and sharing of 5G access networks and advance the implementation of 5G national roaming.</w:t>
      </w:r>
    </w:p>
    <w:p w14:paraId="6E9A42A1" w14:textId="77777777" w:rsidR="007F78B8" w:rsidRDefault="007F78B8" w:rsidP="007F78B8">
      <w:pPr>
        <w:pStyle w:val="ListParagraph"/>
        <w:numPr>
          <w:ilvl w:val="0"/>
          <w:numId w:val="53"/>
        </w:numPr>
        <w:rPr>
          <w:lang w:eastAsia="zh-CN"/>
        </w:rPr>
      </w:pPr>
      <w:r>
        <w:rPr>
          <w:lang w:eastAsia="zh-CN"/>
        </w:rPr>
        <w:t>Deepening Joint Access to "Dual-Gigabit" Networks: Establish a registry of residential areas, residential buildings, and commercial buildings currently lacking broadband network access or served by only one basic telecommunications operator. Promote joint access to broadband networks, significantly enhancing gigabit optical network coverage.</w:t>
      </w:r>
    </w:p>
    <w:p w14:paraId="2EFB19CB" w14:textId="77777777" w:rsidR="007F78B8" w:rsidRDefault="007F78B8" w:rsidP="007F78B8">
      <w:pPr>
        <w:pStyle w:val="ListParagraph"/>
        <w:numPr>
          <w:ilvl w:val="0"/>
          <w:numId w:val="53"/>
        </w:numPr>
        <w:rPr>
          <w:lang w:eastAsia="zh-CN"/>
        </w:rPr>
      </w:pPr>
      <w:r>
        <w:rPr>
          <w:lang w:eastAsia="zh-CN"/>
        </w:rPr>
        <w:t>Strengthening Maintenance and Streamlining of Rural Communication Poles and Cables: Establish and improve a co-construction, sharing, and co-maintenance mechanism for rural telecommunications infrastructure. Encourage basic telecommunications operators to promote the co-construction and sharing of rural poles and cables through models such as laying separate cables/pipes in the same trench, sharing poles for separate cables, sharing cable cores within the same cable, fiber core swapping, and leasing fiber cores.</w:t>
      </w:r>
    </w:p>
    <w:p w14:paraId="72194B99" w14:textId="77777777" w:rsidR="007F78B8" w:rsidRDefault="007F78B8" w:rsidP="007F78B8">
      <w:pPr>
        <w:pStyle w:val="ListParagraph"/>
        <w:numPr>
          <w:ilvl w:val="0"/>
          <w:numId w:val="53"/>
        </w:numPr>
        <w:rPr>
          <w:lang w:eastAsia="zh-CN"/>
        </w:rPr>
      </w:pPr>
      <w:r>
        <w:rPr>
          <w:lang w:eastAsia="zh-CN"/>
        </w:rPr>
        <w:t xml:space="preserve">Encouraging Cross-Industry Open Sharing: Promote the open sharing of facility </w:t>
      </w:r>
      <w:proofErr w:type="gramStart"/>
      <w:r>
        <w:rPr>
          <w:lang w:eastAsia="zh-CN"/>
        </w:rPr>
        <w:t>resources—</w:t>
      </w:r>
      <w:proofErr w:type="gramEnd"/>
      <w:r>
        <w:rPr>
          <w:lang w:eastAsia="zh-CN"/>
        </w:rPr>
        <w:t>including towers, ducts, utility tunnels, tunnels, optical cables, and equipment rooms—for "dual-gigabit" network construction through reasonable and fair market-based approaches. Fully leverage the enabling role of communication networks across all industries.</w:t>
      </w:r>
    </w:p>
    <w:p w14:paraId="4F761807" w14:textId="77777777" w:rsidR="007F78B8" w:rsidRDefault="007F78B8" w:rsidP="007F78B8">
      <w:pPr>
        <w:pStyle w:val="ListParagraph"/>
        <w:numPr>
          <w:ilvl w:val="255"/>
          <w:numId w:val="0"/>
        </w:numPr>
        <w:rPr>
          <w:lang w:eastAsia="zh-CN"/>
        </w:rPr>
      </w:pPr>
      <w:r>
        <w:rPr>
          <w:lang w:eastAsia="zh-CN"/>
        </w:rPr>
        <w:t>In 2021 and 2023, case collection activities for the construction and sharing of telecommunications infrastructure were respectively organized. After the review and access, a total of 92 typical cases were announced</w:t>
      </w:r>
      <w:r>
        <w:rPr>
          <w:rStyle w:val="FootnoteReference"/>
          <w:lang w:eastAsia="zh-CN"/>
        </w:rPr>
        <w:footnoteReference w:id="6"/>
      </w:r>
      <w:r>
        <w:rPr>
          <w:rStyle w:val="FootnoteReference"/>
          <w:lang w:eastAsia="zh-CN"/>
        </w:rPr>
        <w:footnoteReference w:id="7"/>
      </w:r>
      <w:r>
        <w:rPr>
          <w:lang w:eastAsia="zh-CN"/>
        </w:rPr>
        <w:t xml:space="preserve">. These cases can provide valuable experience and practices for basic telecommunications operators to carry out co-construction and sharing. This </w:t>
      </w:r>
      <w:r>
        <w:rPr>
          <w:lang w:eastAsia="zh-CN"/>
        </w:rPr>
        <w:lastRenderedPageBreak/>
        <w:t>will further promote the intensive construction and integrated sharing of telecommunications infrastructure, and help continuously enhance the level of co-construction and sharing.</w:t>
      </w:r>
    </w:p>
    <w:p w14:paraId="7CCFE276" w14:textId="77777777" w:rsidR="00623E94" w:rsidRDefault="00623E94" w:rsidP="00630F7B">
      <w:r w:rsidRPr="00A7248B">
        <w:t>At the World Telecommunication and Informati</w:t>
      </w:r>
      <w:r>
        <w:t>on Society Day conference on May 17, 2023</w:t>
      </w:r>
      <w:r w:rsidRPr="00A7248B">
        <w:t>, China Telecom, China Mobile, China Unicom, and China</w:t>
      </w:r>
      <w:r>
        <w:t xml:space="preserve"> Broadcasting Network</w:t>
      </w:r>
      <w:r w:rsidRPr="00A7248B">
        <w:t xml:space="preserve"> jointly announced the official launch of the world</w:t>
      </w:r>
      <w:r>
        <w:t>’</w:t>
      </w:r>
      <w:r w:rsidRPr="00A7248B">
        <w:t xml:space="preserve">s first 5G </w:t>
      </w:r>
      <w:r w:rsidRPr="00DF6CCF">
        <w:t>inter-network</w:t>
      </w:r>
      <w:r w:rsidRPr="00A7248B">
        <w:t xml:space="preserve"> roaming commercial</w:t>
      </w:r>
      <w:r>
        <w:t xml:space="preserve"> </w:t>
      </w:r>
      <w:r w:rsidRPr="00A7248B">
        <w:t>trial</w:t>
      </w:r>
      <w:r>
        <w:t xml:space="preserve"> </w:t>
      </w:r>
      <w:r w:rsidRPr="00A7248B">
        <w:t>in Xinjiang</w:t>
      </w:r>
      <w:r>
        <w:t>, China</w:t>
      </w:r>
      <w:r w:rsidRPr="00A7248B">
        <w:t>.</w:t>
      </w:r>
      <w:r>
        <w:t xml:space="preserve"> </w:t>
      </w:r>
      <w:r w:rsidRPr="00B247F5">
        <w:t xml:space="preserve">5G </w:t>
      </w:r>
      <w:r>
        <w:t>inter-</w:t>
      </w:r>
      <w:r w:rsidRPr="00B247F5">
        <w:t xml:space="preserve">network roaming refers to </w:t>
      </w:r>
      <w:r>
        <w:t xml:space="preserve">the user </w:t>
      </w:r>
      <w:proofErr w:type="gramStart"/>
      <w:r>
        <w:t>terminal</w:t>
      </w:r>
      <w:proofErr w:type="gramEnd"/>
      <w:r>
        <w:t xml:space="preserve"> could use 5G services by accessing to </w:t>
      </w:r>
      <w:r w:rsidRPr="00B247F5">
        <w:t>other operators</w:t>
      </w:r>
      <w:r>
        <w:t>’</w:t>
      </w:r>
      <w:r w:rsidRPr="00B247F5">
        <w:t xml:space="preserve"> 5G networks and continue using 5G services</w:t>
      </w:r>
      <w:r>
        <w:t>, when the</w:t>
      </w:r>
      <w:r w:rsidRPr="00B247F5">
        <w:t xml:space="preserve"> respective operators have </w:t>
      </w:r>
      <w:r>
        <w:t xml:space="preserve">no </w:t>
      </w:r>
      <w:r w:rsidRPr="00B247F5">
        <w:t>5G network coverage</w:t>
      </w:r>
      <w:r w:rsidR="00D15172">
        <w:rPr>
          <w:rStyle w:val="FootnoteReference"/>
        </w:rPr>
        <w:footnoteReference w:id="8"/>
      </w:r>
      <w:r w:rsidRPr="00B247F5">
        <w:t>.</w:t>
      </w:r>
    </w:p>
    <w:p w14:paraId="3818025E" w14:textId="77777777" w:rsidR="00070893" w:rsidRDefault="00070893" w:rsidP="00070893">
      <w:r>
        <w:rPr>
          <w:rFonts w:hint="eastAsia"/>
        </w:rPr>
        <w:t xml:space="preserve">At the Mobile World Congress in March 2025, China Telecom and China Unicom teamed up with GSMA and partners to release the Shared Network Smart </w:t>
      </w:r>
      <w:r>
        <w:rPr>
          <w:rFonts w:eastAsia="SimSun" w:hint="eastAsia"/>
          <w:lang w:eastAsia="zh-CN"/>
        </w:rPr>
        <w:t>Co-</w:t>
      </w:r>
      <w:r>
        <w:rPr>
          <w:rFonts w:hint="eastAsia"/>
        </w:rPr>
        <w:t>Governance</w:t>
      </w:r>
      <w:r>
        <w:rPr>
          <w:rFonts w:eastAsia="SimSun" w:hint="eastAsia"/>
          <w:lang w:eastAsia="zh-CN"/>
        </w:rPr>
        <w:t xml:space="preserve"> White Paper</w:t>
      </w:r>
      <w:r>
        <w:rPr>
          <w:rFonts w:hint="eastAsia"/>
        </w:rPr>
        <w:t>, further systematically summarizing the key technologies and successful practices of network smart governance under the co construction and sharing mode</w:t>
      </w:r>
      <w:r>
        <w:rPr>
          <w:rFonts w:eastAsia="SimSun" w:hint="eastAsia"/>
          <w:lang w:eastAsia="zh-CN"/>
        </w:rPr>
        <w:t>. China Telecom and China Unicom</w:t>
      </w:r>
      <w:r>
        <w:t xml:space="preserve"> have been steadily building and launching their shared </w:t>
      </w:r>
      <w:r>
        <w:rPr>
          <w:rFonts w:eastAsia="SimSun" w:hint="eastAsia"/>
          <w:lang w:eastAsia="zh-CN"/>
        </w:rPr>
        <w:t xml:space="preserve">4G/5G </w:t>
      </w:r>
      <w:r>
        <w:t>networks across China in accordance with the cooperative framework agreement on network co-construction and sharing that was signed in 2019.</w:t>
      </w:r>
      <w:r>
        <w:rPr>
          <w:rFonts w:eastAsia="SimSun" w:hint="eastAsia"/>
          <w:lang w:eastAsia="zh-CN"/>
        </w:rPr>
        <w:t xml:space="preserve"> </w:t>
      </w:r>
      <w:r>
        <w:t>Regarding 5G networks, the two operators have made tangible breakthroughs in terms of product, technology, Operations &amp; Maintenance (O&amp;M), and management innovations in collaboration with other partners.</w:t>
      </w:r>
      <w:r>
        <w:rPr>
          <w:rFonts w:eastAsia="SimSun" w:hint="eastAsia"/>
          <w:lang w:eastAsia="zh-CN"/>
        </w:rPr>
        <w:t xml:space="preserve"> </w:t>
      </w:r>
      <w:r>
        <w:t xml:space="preserve">In terms of 4G networks, the two operators have been engaged in reconstructing their installed 4G networks from 2022 to 2024, </w:t>
      </w:r>
      <w:proofErr w:type="gramStart"/>
      <w:r>
        <w:t>in order to</w:t>
      </w:r>
      <w:proofErr w:type="gramEnd"/>
      <w:r>
        <w:t xml:space="preserve"> make them shareable with the aim of improving quality and efficiency at reduced costs.</w:t>
      </w:r>
      <w:r>
        <w:rPr>
          <w:rFonts w:eastAsia="SimSun" w:hint="eastAsia"/>
          <w:lang w:eastAsia="zh-CN"/>
        </w:rPr>
        <w:t xml:space="preserve"> </w:t>
      </w:r>
      <w:r>
        <w:t>Aiming to minimize the total cost of ownership (TCO), the two operators designed plans for removing and then redeploying their 4G networks with careful consideration of elements such as coverage, load, complaints, antenna resources, equipment capabilities, and local conditions.</w:t>
      </w:r>
      <w:r>
        <w:rPr>
          <w:rFonts w:eastAsia="SimSun" w:hint="eastAsia"/>
          <w:lang w:eastAsia="zh-CN"/>
        </w:rPr>
        <w:t xml:space="preserve"> </w:t>
      </w:r>
      <w:r>
        <w:t>By October 2024, the two operators had deployed 1.37 million shared 5G base stations and reconstructed over 2 million shared 4G base stations. This joint effort of building, optimizing, and operating networks has paid off with network quality and user experience having steadily improved, while investments and costs have been greatly reduced</w:t>
      </w:r>
      <w:r>
        <w:rPr>
          <w:rStyle w:val="FootnoteReference"/>
        </w:rPr>
        <w:footnoteReference w:id="9"/>
      </w:r>
      <w:r>
        <w:t>.</w:t>
      </w:r>
    </w:p>
    <w:p w14:paraId="16C95153" w14:textId="77777777" w:rsidR="00623E94" w:rsidRDefault="00623E94" w:rsidP="00630F7B">
      <w:r w:rsidRPr="00DC0703">
        <w:t>China is guiding IMT operators to enhance coordination and cooperation, fully boost market dynamism, integrate prime resources, carry out 5G network sharing and inter-network roaming, accelerate efforts to form a network pattern with multiple networks coexisting in hotspots and one network ensuring basic needs in remote areas, and create 5G networks with intensive resource and efficient operation</w:t>
      </w:r>
      <w:r w:rsidR="00D15172">
        <w:rPr>
          <w:rStyle w:val="FootnoteReference"/>
        </w:rPr>
        <w:footnoteReference w:id="10"/>
      </w:r>
      <w:r w:rsidRPr="00DC0703">
        <w:t>.</w:t>
      </w:r>
    </w:p>
    <w:p w14:paraId="25783E15" w14:textId="77777777" w:rsidR="00135EB3" w:rsidRDefault="00EA0F28" w:rsidP="00135EB3">
      <w:pPr>
        <w:pStyle w:val="Heading2"/>
        <w:spacing w:after="120"/>
      </w:pPr>
      <w:r>
        <w:rPr>
          <w:rFonts w:eastAsia="MS Mincho" w:hint="eastAsia"/>
          <w:lang w:eastAsia="ja-JP"/>
        </w:rPr>
        <w:t xml:space="preserve"> </w:t>
      </w:r>
      <w:r w:rsidR="008D661C">
        <w:t xml:space="preserve">Republic of </w:t>
      </w:r>
      <w:r w:rsidR="00135EB3" w:rsidRPr="007234C7">
        <w:t>Korea</w:t>
      </w:r>
    </w:p>
    <w:p w14:paraId="10F25FC8" w14:textId="77777777" w:rsidR="00135EB3" w:rsidRDefault="00135EB3" w:rsidP="00135EB3">
      <w:pPr>
        <w:rPr>
          <w:shd w:val="clear" w:color="auto" w:fill="FFFFFF"/>
          <w:lang w:eastAsia="ko-KR"/>
        </w:rPr>
      </w:pPr>
      <w:r w:rsidRPr="007234C7">
        <w:rPr>
          <w:shd w:val="clear" w:color="auto" w:fill="FFFFFF"/>
          <w:lang w:eastAsia="ko-KR"/>
        </w:rPr>
        <w:t xml:space="preserve">The Ministry of Science and ICT(MSIT) announced a “Rural 5G Network Sharing Plan” in April 2021 with three mobile network operators in Korea, SK Telecom, KT and LG Uplus. To implement the rural 5G network sharing plan, the three operators signed an agreement to enable 5G users to access the 5G network in rural and remote areas regardless of which operator they subscribe to, with the aim of providing nationwide 5G service. </w:t>
      </w:r>
    </w:p>
    <w:p w14:paraId="3D513F51" w14:textId="77777777" w:rsidR="00135EB3" w:rsidRDefault="00135EB3" w:rsidP="00135EB3">
      <w:pPr>
        <w:rPr>
          <w:shd w:val="clear" w:color="auto" w:fill="FFFFFF"/>
          <w:lang w:eastAsia="ko-KR"/>
        </w:rPr>
      </w:pPr>
      <w:r w:rsidRPr="007234C7">
        <w:rPr>
          <w:shd w:val="clear" w:color="auto" w:fill="FFFFFF"/>
          <w:lang w:eastAsia="ko-KR"/>
        </w:rPr>
        <w:t xml:space="preserve">Following the launch of the world's first commercial 5G network service, discussions began on building a joint network to rapidly expand the nationwide 5G network and bridge the 5G divide between urban and rural areas. As 5G network is known to take longer to deploy nationally </w:t>
      </w:r>
      <w:r w:rsidRPr="007234C7">
        <w:rPr>
          <w:shd w:val="clear" w:color="auto" w:fill="FFFFFF"/>
          <w:lang w:eastAsia="ko-KR"/>
        </w:rPr>
        <w:lastRenderedPageBreak/>
        <w:t xml:space="preserve">compared to LTE, the MSIT and three operators agreed on a RAN sharing policy to accelerate the delivery of 5G coverage rapidly, not just in some metropolitan regions but in rural areas. </w:t>
      </w:r>
    </w:p>
    <w:p w14:paraId="70F6E116" w14:textId="77777777" w:rsidR="00135EB3" w:rsidRPr="007234C7" w:rsidRDefault="00135EB3" w:rsidP="00135EB3">
      <w:pPr>
        <w:rPr>
          <w:shd w:val="clear" w:color="auto" w:fill="FFFFFF"/>
          <w:lang w:eastAsia="ko-KR"/>
        </w:rPr>
      </w:pPr>
      <w:r w:rsidRPr="007234C7">
        <w:rPr>
          <w:shd w:val="clear" w:color="auto" w:fill="FFFFFF"/>
          <w:lang w:eastAsia="ko-KR"/>
        </w:rPr>
        <w:t>This is the worldwide first case of a 5G RAN Sharing agreement involving all operators in a nation to accommodate all MNO and MVNO subscribers and global roamers without differentiating customer experience. It is designed to provide all subscribers with the same quality as their independent network when on a shared network.</w:t>
      </w:r>
    </w:p>
    <w:p w14:paraId="4A2600F4" w14:textId="77777777" w:rsidR="00135EB3" w:rsidRPr="007234C7" w:rsidRDefault="00135EB3" w:rsidP="00135EB3">
      <w:pPr>
        <w:rPr>
          <w:shd w:val="clear" w:color="auto" w:fill="FFFFFF"/>
          <w:lang w:eastAsia="ko-KR"/>
        </w:rPr>
      </w:pPr>
      <w:r w:rsidRPr="007234C7">
        <w:rPr>
          <w:shd w:val="clear" w:color="auto" w:fill="FFFFFF"/>
          <w:lang w:eastAsia="ko-KR"/>
        </w:rPr>
        <w:t xml:space="preserve">Under the plan, the three operators jointly built and shared 5G systems in 1342 rural areas across </w:t>
      </w:r>
      <w:r>
        <w:rPr>
          <w:shd w:val="clear" w:color="auto" w:fill="FFFFFF"/>
          <w:lang w:eastAsia="ko-KR"/>
        </w:rPr>
        <w:t>the Republic of Korea</w:t>
      </w:r>
      <w:r w:rsidRPr="007234C7">
        <w:rPr>
          <w:shd w:val="clear" w:color="auto" w:fill="FFFFFF"/>
          <w:lang w:eastAsia="ko-KR"/>
        </w:rPr>
        <w:t xml:space="preserve">, and in April 2024, the construction of a nationwide 5G network was completed, covering all rural areas in addition to urban areas where the three MNOs had already independently built 5G networks. MSIT and three MNOs will continuously improve the network stability, quality, etc. in rural 5G network sharing areas. </w:t>
      </w:r>
    </w:p>
    <w:p w14:paraId="2EFF6323" w14:textId="72A79F86" w:rsidR="00135EB3" w:rsidRPr="007234C7" w:rsidRDefault="00135EB3" w:rsidP="00135EB3">
      <w:pPr>
        <w:rPr>
          <w:shd w:val="clear" w:color="auto" w:fill="FFFFFF"/>
          <w:lang w:eastAsia="ko-KR"/>
        </w:rPr>
      </w:pPr>
      <w:r w:rsidRPr="002C5E76">
        <w:rPr>
          <w:shd w:val="clear" w:color="auto" w:fill="FFFFFF"/>
          <w:lang w:eastAsia="ko-KR"/>
        </w:rPr>
        <w:t>After discussing which technology method to implement, the</w:t>
      </w:r>
      <w:r w:rsidRPr="007234C7">
        <w:rPr>
          <w:shd w:val="clear" w:color="auto" w:fill="FFFFFF"/>
          <w:lang w:eastAsia="ko-KR"/>
        </w:rPr>
        <w:t xml:space="preserve"> Multi-Operator Core Network (MOCN) radio access network sharing architecture is selected for this 5G network sharing plan, where only the RAN is shared in the 5G network. MOCN enables two or more operators with distinct core networks to use shared RAN and spectrum.  Figure </w:t>
      </w:r>
      <w:r w:rsidR="00FD4A09">
        <w:rPr>
          <w:rFonts w:eastAsia="MS Mincho" w:hint="eastAsia"/>
          <w:shd w:val="clear" w:color="auto" w:fill="FFFFFF"/>
          <w:lang w:eastAsia="ja-JP"/>
        </w:rPr>
        <w:t>below</w:t>
      </w:r>
      <w:r w:rsidR="000C4281">
        <w:rPr>
          <w:shd w:val="clear" w:color="auto" w:fill="FFFFFF"/>
          <w:lang w:eastAsia="ko-KR"/>
        </w:rPr>
        <w:t xml:space="preserve"> </w:t>
      </w:r>
      <w:r w:rsidRPr="007234C7">
        <w:rPr>
          <w:shd w:val="clear" w:color="auto" w:fill="FFFFFF"/>
          <w:lang w:eastAsia="ko-KR"/>
        </w:rPr>
        <w:t>describes the MOCN implementation for the 5G network sharing system in Korea.</w:t>
      </w:r>
    </w:p>
    <w:p w14:paraId="168B0F08" w14:textId="77777777" w:rsidR="00135EB3" w:rsidRPr="007234C7" w:rsidRDefault="00135EB3" w:rsidP="00135EB3">
      <w:pPr>
        <w:jc w:val="center"/>
        <w:rPr>
          <w:shd w:val="clear" w:color="auto" w:fill="FFFFFF"/>
          <w:lang w:eastAsia="ko-KR"/>
        </w:rPr>
      </w:pPr>
      <w:r w:rsidRPr="008200E2">
        <w:rPr>
          <w:noProof/>
          <w:lang w:eastAsia="zh-CN"/>
        </w:rPr>
        <w:drawing>
          <wp:inline distT="0" distB="0" distL="0" distR="0" wp14:anchorId="0ED9DFE7" wp14:editId="55768999">
            <wp:extent cx="4908928" cy="2185060"/>
            <wp:effectExtent l="0" t="0" r="6350" b="5715"/>
            <wp:docPr id="459" name="그림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1535" cy="2199574"/>
                    </a:xfrm>
                    <a:prstGeom prst="rect">
                      <a:avLst/>
                    </a:prstGeom>
                    <a:noFill/>
                  </pic:spPr>
                </pic:pic>
              </a:graphicData>
            </a:graphic>
          </wp:inline>
        </w:drawing>
      </w:r>
    </w:p>
    <w:p w14:paraId="6FCC6D29" w14:textId="5C2D591B" w:rsidR="00135EB3" w:rsidRPr="005A2178" w:rsidRDefault="00135EB3" w:rsidP="00BB73C0">
      <w:pPr>
        <w:jc w:val="center"/>
        <w:rPr>
          <w:rFonts w:eastAsia="MS Mincho"/>
          <w:shd w:val="clear" w:color="auto" w:fill="FFFFFF"/>
          <w:lang w:eastAsia="ja-JP"/>
        </w:rPr>
      </w:pPr>
      <w:r w:rsidRPr="007234C7">
        <w:rPr>
          <w:shd w:val="clear" w:color="auto" w:fill="FFFFFF"/>
          <w:lang w:eastAsia="ko-KR"/>
        </w:rPr>
        <w:t>MOCN for Korea 5G Network Sharing System</w:t>
      </w:r>
    </w:p>
    <w:p w14:paraId="60823EDD" w14:textId="584C6745" w:rsidR="005B1FBA" w:rsidRPr="006804C7" w:rsidRDefault="00135EB3" w:rsidP="00630F7B">
      <w:pPr>
        <w:rPr>
          <w:rFonts w:eastAsia="MS Mincho"/>
          <w:shd w:val="clear" w:color="auto" w:fill="FFFFFF"/>
          <w:lang w:eastAsia="ja-JP"/>
        </w:rPr>
      </w:pPr>
      <w:r w:rsidRPr="007234C7">
        <w:rPr>
          <w:shd w:val="clear" w:color="auto" w:fill="FFFFFF"/>
          <w:lang w:eastAsia="ko-KR"/>
        </w:rPr>
        <w:t xml:space="preserve">The all information on each operator’s radio access networks, including coverage, parameters, etc. is shared by </w:t>
      </w:r>
      <w:bookmarkStart w:id="1" w:name="_Hlk170810048"/>
      <w:r w:rsidRPr="007234C7">
        <w:rPr>
          <w:shd w:val="clear" w:color="auto" w:fill="FFFFFF"/>
          <w:lang w:eastAsia="ko-KR"/>
        </w:rPr>
        <w:t>“shared network management system”</w:t>
      </w:r>
      <w:bookmarkEnd w:id="1"/>
      <w:r w:rsidRPr="007234C7">
        <w:rPr>
          <w:shd w:val="clear" w:color="auto" w:fill="FFFFFF"/>
          <w:lang w:eastAsia="ko-KR"/>
        </w:rPr>
        <w:t>. It is newly developed for shared network to integrate quality management through which three operators monitor and immediately address service performance, load, defects, errors etc. on the shared network. For interoperability between each operator’s own access network and the others’ core networks, the operators designated edge communication bases when connecting the backbone networks to ensure stability and reduce latency. The bases are configured to process traffic within the region and ensure stability by ensuring route redundancy between base data centers when interoperating between networks.</w:t>
      </w:r>
      <w:r>
        <w:rPr>
          <w:shd w:val="clear" w:color="auto" w:fill="FFFFFF"/>
          <w:lang w:eastAsia="ko-KR"/>
        </w:rPr>
        <w:t xml:space="preserve"> </w:t>
      </w:r>
    </w:p>
    <w:p w14:paraId="012195D6" w14:textId="7E8A5E7B" w:rsidR="005B1FBA" w:rsidRPr="006804C7" w:rsidRDefault="00310A97" w:rsidP="006804C7">
      <w:pPr>
        <w:pStyle w:val="Heading2"/>
        <w:spacing w:after="120"/>
      </w:pPr>
      <w:r>
        <w:rPr>
          <w:rFonts w:eastAsia="MS Mincho" w:hint="eastAsia"/>
          <w:lang w:eastAsia="ja-JP"/>
        </w:rPr>
        <w:t xml:space="preserve"> </w:t>
      </w:r>
      <w:r w:rsidR="005B1FBA" w:rsidRPr="006804C7">
        <w:t>Republic of Indonesia</w:t>
      </w:r>
    </w:p>
    <w:p w14:paraId="007DF210" w14:textId="066A94E0" w:rsidR="005B1FBA" w:rsidRPr="006804C7" w:rsidRDefault="005B1FBA" w:rsidP="00DB2DD9">
      <w:pPr>
        <w:rPr>
          <w:color w:val="000000" w:themeColor="text1"/>
          <w:lang w:eastAsia="ko-KR"/>
        </w:rPr>
      </w:pPr>
      <w:r w:rsidRPr="006804C7">
        <w:rPr>
          <w:color w:val="000000" w:themeColor="text1"/>
          <w:lang w:eastAsia="ko-KR"/>
        </w:rPr>
        <w:t xml:space="preserve">Ministry of Communication and Digital Affairs of Indonesia has issued a regulatory framework that supports collaborative use of spectrum resources. Under Ministerial Regulation No. 7 of 2021, operators are permitted to implement spectrum pooling, where multiple license holders combine their assigned spectrum bands for shared use. This framework enables more efficient spectrum utilization and provides a strong foundation for network consolidation strategies. </w:t>
      </w:r>
      <w:r w:rsidRPr="006804C7">
        <w:rPr>
          <w:lang w:eastAsia="ko-KR"/>
        </w:rPr>
        <w:t xml:space="preserve">Supported by this policy, the merger of Indonesia’s MNOs XL Axiata (XL) and </w:t>
      </w:r>
      <w:proofErr w:type="spellStart"/>
      <w:r w:rsidRPr="006804C7">
        <w:rPr>
          <w:lang w:eastAsia="ko-KR"/>
        </w:rPr>
        <w:t>Smartfren</w:t>
      </w:r>
      <w:proofErr w:type="spellEnd"/>
      <w:r w:rsidRPr="006804C7">
        <w:rPr>
          <w:lang w:eastAsia="ko-KR"/>
        </w:rPr>
        <w:t xml:space="preserve"> (SF) into a single telecommunication operator represents a major milestone for Indonesia’s digital </w:t>
      </w:r>
      <w:r w:rsidRPr="006804C7">
        <w:rPr>
          <w:lang w:eastAsia="ko-KR"/>
        </w:rPr>
        <w:lastRenderedPageBreak/>
        <w:t>connectivity. The combined entity (XLSMART) will hold a wide range of spectrum resources and manage a large customer base across the nation.</w:t>
      </w:r>
    </w:p>
    <w:p w14:paraId="04541A7D" w14:textId="39B4D8F7" w:rsidR="005B1FBA" w:rsidRPr="006804C7" w:rsidRDefault="005B1FBA" w:rsidP="00C323FE">
      <w:pPr>
        <w:rPr>
          <w:rFonts w:eastAsia="MS Mincho"/>
          <w:lang w:eastAsia="ja-JP"/>
        </w:rPr>
      </w:pPr>
      <w:r w:rsidRPr="006804C7">
        <w:rPr>
          <w:lang w:eastAsia="ko-KR"/>
        </w:rPr>
        <w:t>A key challenge is to determine the most effective technical pathway to consolidate two separate networks into one unified infrastructure, ensuring both operational synergies and customer experience. Three primary options are available: MOCN (Multi-Operator Core Network), MORAN (Multi-Operator RAN), and National Roaming (NR). Each approach has unique strengths and trade-offs, depending on network conditions and merger objectives.</w:t>
      </w:r>
    </w:p>
    <w:p w14:paraId="02DA99A2" w14:textId="251DFA0E" w:rsidR="005B1FBA" w:rsidRPr="006804C7" w:rsidRDefault="005B1FBA" w:rsidP="00C323FE">
      <w:pPr>
        <w:rPr>
          <w:rFonts w:eastAsia="MS Mincho"/>
          <w:lang w:eastAsia="ja-JP"/>
        </w:rPr>
      </w:pPr>
      <w:r w:rsidRPr="006804C7">
        <w:rPr>
          <w:lang w:eastAsia="ko-KR"/>
        </w:rPr>
        <w:t>Technical Approaches for Network Consolidation :</w:t>
      </w:r>
    </w:p>
    <w:p w14:paraId="17448B0F" w14:textId="77777777" w:rsidR="005B1FBA" w:rsidRPr="006804C7" w:rsidRDefault="005B1FBA" w:rsidP="005B1FBA">
      <w:pPr>
        <w:ind w:firstLine="567"/>
        <w:rPr>
          <w:lang w:eastAsia="ko-KR"/>
        </w:rPr>
      </w:pPr>
      <w:r w:rsidRPr="006804C7">
        <w:rPr>
          <w:noProof/>
          <w:lang w:eastAsia="ko-KR"/>
        </w:rPr>
        <w:drawing>
          <wp:inline distT="0" distB="0" distL="0" distR="0" wp14:anchorId="4E3F387E" wp14:editId="521D9F56">
            <wp:extent cx="5611638" cy="2438400"/>
            <wp:effectExtent l="0" t="0" r="8255" b="0"/>
            <wp:docPr id="1553013597" name="Picture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13597" name="Picture 1" descr="グラフィカル ユーザー インターフェイス&#10;&#10;AI 生成コンテンツは誤りを含む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4729" cy="2439743"/>
                    </a:xfrm>
                    <a:prstGeom prst="rect">
                      <a:avLst/>
                    </a:prstGeom>
                    <a:noFill/>
                  </pic:spPr>
                </pic:pic>
              </a:graphicData>
            </a:graphic>
          </wp:inline>
        </w:drawing>
      </w:r>
    </w:p>
    <w:tbl>
      <w:tblPr>
        <w:tblW w:w="9209" w:type="dxa"/>
        <w:tblLook w:val="04A0" w:firstRow="1" w:lastRow="0" w:firstColumn="1" w:lastColumn="0" w:noHBand="0" w:noVBand="1"/>
      </w:tblPr>
      <w:tblGrid>
        <w:gridCol w:w="1980"/>
        <w:gridCol w:w="2410"/>
        <w:gridCol w:w="2409"/>
        <w:gridCol w:w="2410"/>
      </w:tblGrid>
      <w:tr w:rsidR="005B1FBA" w:rsidRPr="00E179F9" w14:paraId="55ED9E5A" w14:textId="77777777" w:rsidTr="00FB08A6">
        <w:trPr>
          <w:trHeight w:val="288"/>
        </w:trPr>
        <w:tc>
          <w:tcPr>
            <w:tcW w:w="198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3B978290" w14:textId="77777777" w:rsidR="005B1FBA" w:rsidRPr="00E179F9" w:rsidRDefault="005B1FBA" w:rsidP="00580440">
            <w:pPr>
              <w:snapToGrid/>
              <w:spacing w:afterLines="0" w:after="0"/>
              <w:jc w:val="center"/>
              <w:rPr>
                <w:rFonts w:ascii="Calibri" w:eastAsia="Times New Roman" w:hAnsi="Calibri" w:cs="Calibri"/>
                <w:b/>
                <w:bCs/>
                <w:color w:val="FFFFFF"/>
                <w:sz w:val="22"/>
                <w:szCs w:val="22"/>
                <w:lang w:val="en-ID" w:eastAsia="en-ID"/>
              </w:rPr>
            </w:pPr>
            <w:r w:rsidRPr="00E179F9">
              <w:rPr>
                <w:rFonts w:ascii="Calibri" w:eastAsia="Times New Roman" w:hAnsi="Calibri" w:cs="Calibri"/>
                <w:b/>
                <w:bCs/>
                <w:color w:val="FFFFFF"/>
                <w:sz w:val="22"/>
                <w:szCs w:val="22"/>
                <w:lang w:val="en-ID" w:eastAsia="en-ID"/>
              </w:rPr>
              <w:t>Aspect</w:t>
            </w:r>
          </w:p>
        </w:tc>
        <w:tc>
          <w:tcPr>
            <w:tcW w:w="2410" w:type="dxa"/>
            <w:tcBorders>
              <w:top w:val="single" w:sz="4" w:space="0" w:color="auto"/>
              <w:left w:val="nil"/>
              <w:bottom w:val="single" w:sz="4" w:space="0" w:color="auto"/>
              <w:right w:val="single" w:sz="4" w:space="0" w:color="auto"/>
            </w:tcBorders>
            <w:shd w:val="clear" w:color="000000" w:fill="0070C0"/>
            <w:vAlign w:val="center"/>
            <w:hideMark/>
          </w:tcPr>
          <w:p w14:paraId="3E789D10" w14:textId="77777777" w:rsidR="005B1FBA" w:rsidRPr="00E179F9" w:rsidRDefault="005B1FBA" w:rsidP="00580440">
            <w:pPr>
              <w:snapToGrid/>
              <w:spacing w:afterLines="0" w:after="0"/>
              <w:jc w:val="center"/>
              <w:rPr>
                <w:rFonts w:ascii="Calibri" w:eastAsia="Times New Roman" w:hAnsi="Calibri" w:cs="Calibri"/>
                <w:b/>
                <w:bCs/>
                <w:color w:val="FFFFFF"/>
                <w:sz w:val="22"/>
                <w:szCs w:val="22"/>
                <w:lang w:val="en-ID" w:eastAsia="en-ID"/>
              </w:rPr>
            </w:pPr>
            <w:r w:rsidRPr="00E179F9">
              <w:rPr>
                <w:rFonts w:ascii="Calibri" w:eastAsia="Times New Roman" w:hAnsi="Calibri" w:cs="Calibri"/>
                <w:b/>
                <w:bCs/>
                <w:color w:val="FFFFFF"/>
                <w:sz w:val="22"/>
                <w:szCs w:val="22"/>
                <w:lang w:val="en-ID" w:eastAsia="en-ID"/>
              </w:rPr>
              <w:t>National Roaming (NR)</w:t>
            </w:r>
          </w:p>
        </w:tc>
        <w:tc>
          <w:tcPr>
            <w:tcW w:w="2409" w:type="dxa"/>
            <w:tcBorders>
              <w:top w:val="single" w:sz="4" w:space="0" w:color="auto"/>
              <w:left w:val="nil"/>
              <w:bottom w:val="single" w:sz="4" w:space="0" w:color="auto"/>
              <w:right w:val="single" w:sz="4" w:space="0" w:color="auto"/>
            </w:tcBorders>
            <w:shd w:val="clear" w:color="000000" w:fill="0070C0"/>
            <w:vAlign w:val="center"/>
            <w:hideMark/>
          </w:tcPr>
          <w:p w14:paraId="342E44FB" w14:textId="77777777" w:rsidR="005B1FBA" w:rsidRPr="00E179F9" w:rsidRDefault="005B1FBA" w:rsidP="00580440">
            <w:pPr>
              <w:snapToGrid/>
              <w:spacing w:afterLines="0" w:after="0"/>
              <w:jc w:val="center"/>
              <w:rPr>
                <w:rFonts w:ascii="Calibri" w:eastAsia="Times New Roman" w:hAnsi="Calibri" w:cs="Calibri"/>
                <w:b/>
                <w:bCs/>
                <w:color w:val="FFFFFF"/>
                <w:sz w:val="22"/>
                <w:szCs w:val="22"/>
                <w:lang w:val="en-ID" w:eastAsia="en-ID"/>
              </w:rPr>
            </w:pPr>
            <w:r w:rsidRPr="00E179F9">
              <w:rPr>
                <w:rFonts w:ascii="Calibri" w:eastAsia="Times New Roman" w:hAnsi="Calibri" w:cs="Calibri"/>
                <w:b/>
                <w:bCs/>
                <w:color w:val="FFFFFF"/>
                <w:sz w:val="22"/>
                <w:szCs w:val="22"/>
                <w:lang w:val="en-ID" w:eastAsia="en-ID"/>
              </w:rPr>
              <w:t>MORAN</w:t>
            </w:r>
          </w:p>
        </w:tc>
        <w:tc>
          <w:tcPr>
            <w:tcW w:w="2410" w:type="dxa"/>
            <w:tcBorders>
              <w:top w:val="single" w:sz="4" w:space="0" w:color="auto"/>
              <w:left w:val="nil"/>
              <w:bottom w:val="single" w:sz="4" w:space="0" w:color="auto"/>
              <w:right w:val="single" w:sz="4" w:space="0" w:color="auto"/>
            </w:tcBorders>
            <w:shd w:val="clear" w:color="000000" w:fill="0070C0"/>
            <w:vAlign w:val="center"/>
            <w:hideMark/>
          </w:tcPr>
          <w:p w14:paraId="6E1926AD" w14:textId="77777777" w:rsidR="005B1FBA" w:rsidRPr="00E179F9" w:rsidRDefault="005B1FBA" w:rsidP="00580440">
            <w:pPr>
              <w:snapToGrid/>
              <w:spacing w:afterLines="0" w:after="0"/>
              <w:jc w:val="center"/>
              <w:rPr>
                <w:rFonts w:ascii="Calibri" w:eastAsia="Times New Roman" w:hAnsi="Calibri" w:cs="Calibri"/>
                <w:b/>
                <w:bCs/>
                <w:color w:val="FFFFFF"/>
                <w:sz w:val="22"/>
                <w:szCs w:val="22"/>
                <w:lang w:val="en-ID" w:eastAsia="en-ID"/>
              </w:rPr>
            </w:pPr>
            <w:r w:rsidRPr="00E179F9">
              <w:rPr>
                <w:rFonts w:ascii="Calibri" w:eastAsia="Times New Roman" w:hAnsi="Calibri" w:cs="Calibri"/>
                <w:b/>
                <w:bCs/>
                <w:color w:val="FFFFFF"/>
                <w:sz w:val="22"/>
                <w:szCs w:val="22"/>
                <w:lang w:val="en-ID" w:eastAsia="en-ID"/>
              </w:rPr>
              <w:t>MOCN</w:t>
            </w:r>
          </w:p>
        </w:tc>
      </w:tr>
      <w:tr w:rsidR="005B1FBA" w:rsidRPr="00E179F9" w14:paraId="1EA792E0" w14:textId="77777777" w:rsidTr="00FB08A6">
        <w:trPr>
          <w:trHeight w:val="864"/>
        </w:trPr>
        <w:tc>
          <w:tcPr>
            <w:tcW w:w="1980" w:type="dxa"/>
            <w:tcBorders>
              <w:top w:val="nil"/>
              <w:left w:val="single" w:sz="4" w:space="0" w:color="auto"/>
              <w:bottom w:val="single" w:sz="4" w:space="0" w:color="auto"/>
              <w:right w:val="single" w:sz="4" w:space="0" w:color="auto"/>
            </w:tcBorders>
            <w:vAlign w:val="center"/>
            <w:hideMark/>
          </w:tcPr>
          <w:p w14:paraId="17E0C4EE"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Description</w:t>
            </w:r>
          </w:p>
        </w:tc>
        <w:tc>
          <w:tcPr>
            <w:tcW w:w="2410" w:type="dxa"/>
            <w:tcBorders>
              <w:top w:val="nil"/>
              <w:left w:val="nil"/>
              <w:bottom w:val="single" w:sz="4" w:space="0" w:color="auto"/>
              <w:right w:val="single" w:sz="4" w:space="0" w:color="auto"/>
            </w:tcBorders>
            <w:vAlign w:val="center"/>
            <w:hideMark/>
          </w:tcPr>
          <w:p w14:paraId="24EF96F5"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One operator’s customers roam on the other’s network</w:t>
            </w:r>
          </w:p>
        </w:tc>
        <w:tc>
          <w:tcPr>
            <w:tcW w:w="2409" w:type="dxa"/>
            <w:tcBorders>
              <w:top w:val="nil"/>
              <w:left w:val="nil"/>
              <w:bottom w:val="single" w:sz="4" w:space="0" w:color="auto"/>
              <w:right w:val="single" w:sz="4" w:space="0" w:color="auto"/>
            </w:tcBorders>
            <w:vAlign w:val="center"/>
            <w:hideMark/>
          </w:tcPr>
          <w:p w14:paraId="167F0D33"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Shared physical sites only</w:t>
            </w:r>
          </w:p>
        </w:tc>
        <w:tc>
          <w:tcPr>
            <w:tcW w:w="2410" w:type="dxa"/>
            <w:tcBorders>
              <w:top w:val="nil"/>
              <w:left w:val="nil"/>
              <w:bottom w:val="single" w:sz="4" w:space="0" w:color="auto"/>
              <w:right w:val="single" w:sz="4" w:space="0" w:color="auto"/>
            </w:tcBorders>
            <w:vAlign w:val="center"/>
            <w:hideMark/>
          </w:tcPr>
          <w:p w14:paraId="232A08FD"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Shared RAN + spectrum pooling</w:t>
            </w:r>
          </w:p>
        </w:tc>
      </w:tr>
      <w:tr w:rsidR="005B1FBA" w:rsidRPr="00E179F9" w14:paraId="789830D0" w14:textId="77777777" w:rsidTr="00FB08A6">
        <w:trPr>
          <w:trHeight w:val="864"/>
        </w:trPr>
        <w:tc>
          <w:tcPr>
            <w:tcW w:w="1980" w:type="dxa"/>
            <w:tcBorders>
              <w:top w:val="nil"/>
              <w:left w:val="single" w:sz="4" w:space="0" w:color="auto"/>
              <w:bottom w:val="single" w:sz="4" w:space="0" w:color="auto"/>
              <w:right w:val="single" w:sz="4" w:space="0" w:color="auto"/>
            </w:tcBorders>
            <w:vAlign w:val="center"/>
            <w:hideMark/>
          </w:tcPr>
          <w:p w14:paraId="1DBA615C"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When Suitable</w:t>
            </w:r>
          </w:p>
        </w:tc>
        <w:tc>
          <w:tcPr>
            <w:tcW w:w="2410" w:type="dxa"/>
            <w:tcBorders>
              <w:top w:val="nil"/>
              <w:left w:val="nil"/>
              <w:bottom w:val="single" w:sz="4" w:space="0" w:color="auto"/>
              <w:right w:val="single" w:sz="4" w:space="0" w:color="auto"/>
            </w:tcBorders>
            <w:vAlign w:val="center"/>
            <w:hideMark/>
          </w:tcPr>
          <w:p w14:paraId="1235D2ED"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xml:space="preserve">If </w:t>
            </w:r>
            <w:r w:rsidRPr="00E179F9">
              <w:rPr>
                <w:rFonts w:ascii="Calibri" w:eastAsia="Times New Roman" w:hAnsi="Calibri" w:cs="Calibri"/>
                <w:b/>
                <w:bCs/>
                <w:color w:val="000000"/>
                <w:sz w:val="22"/>
                <w:szCs w:val="22"/>
                <w:lang w:val="en-ID" w:eastAsia="en-ID"/>
              </w:rPr>
              <w:t>one operator is dominant</w:t>
            </w:r>
            <w:r w:rsidRPr="00E179F9">
              <w:rPr>
                <w:rFonts w:ascii="Calibri" w:eastAsia="Times New Roman" w:hAnsi="Calibri" w:cs="Calibri"/>
                <w:color w:val="000000"/>
                <w:sz w:val="22"/>
                <w:szCs w:val="22"/>
                <w:lang w:val="en-ID" w:eastAsia="en-ID"/>
              </w:rPr>
              <w:t xml:space="preserve"> in RAN &amp; coverage</w:t>
            </w:r>
          </w:p>
        </w:tc>
        <w:tc>
          <w:tcPr>
            <w:tcW w:w="2409" w:type="dxa"/>
            <w:tcBorders>
              <w:top w:val="nil"/>
              <w:left w:val="nil"/>
              <w:bottom w:val="single" w:sz="4" w:space="0" w:color="auto"/>
              <w:right w:val="single" w:sz="4" w:space="0" w:color="auto"/>
            </w:tcBorders>
            <w:vAlign w:val="center"/>
            <w:hideMark/>
          </w:tcPr>
          <w:p w14:paraId="35E99308"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If operators only want cost savings in overlapping clusters</w:t>
            </w:r>
          </w:p>
        </w:tc>
        <w:tc>
          <w:tcPr>
            <w:tcW w:w="2410" w:type="dxa"/>
            <w:tcBorders>
              <w:top w:val="nil"/>
              <w:left w:val="nil"/>
              <w:bottom w:val="single" w:sz="4" w:space="0" w:color="auto"/>
              <w:right w:val="single" w:sz="4" w:space="0" w:color="auto"/>
            </w:tcBorders>
            <w:vAlign w:val="center"/>
            <w:hideMark/>
          </w:tcPr>
          <w:p w14:paraId="5CBA77F1"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xml:space="preserve">If both operators have </w:t>
            </w:r>
            <w:r w:rsidRPr="00E179F9">
              <w:rPr>
                <w:rFonts w:ascii="Calibri" w:eastAsia="Times New Roman" w:hAnsi="Calibri" w:cs="Calibri"/>
                <w:b/>
                <w:bCs/>
                <w:color w:val="000000"/>
                <w:sz w:val="22"/>
                <w:szCs w:val="22"/>
                <w:lang w:val="en-ID" w:eastAsia="en-ID"/>
              </w:rPr>
              <w:t>similar RAN size &amp; coverage</w:t>
            </w:r>
          </w:p>
        </w:tc>
      </w:tr>
      <w:tr w:rsidR="005B1FBA" w:rsidRPr="00E179F9" w14:paraId="7FDCAAF6" w14:textId="77777777" w:rsidTr="00FB08A6">
        <w:trPr>
          <w:trHeight w:val="576"/>
        </w:trPr>
        <w:tc>
          <w:tcPr>
            <w:tcW w:w="1980" w:type="dxa"/>
            <w:vMerge w:val="restart"/>
            <w:tcBorders>
              <w:top w:val="nil"/>
              <w:left w:val="single" w:sz="4" w:space="0" w:color="auto"/>
              <w:bottom w:val="single" w:sz="4" w:space="0" w:color="auto"/>
              <w:right w:val="single" w:sz="4" w:space="0" w:color="auto"/>
            </w:tcBorders>
            <w:vAlign w:val="center"/>
            <w:hideMark/>
          </w:tcPr>
          <w:p w14:paraId="01959AB8"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Pros</w:t>
            </w:r>
          </w:p>
        </w:tc>
        <w:tc>
          <w:tcPr>
            <w:tcW w:w="2410" w:type="dxa"/>
            <w:tcBorders>
              <w:top w:val="nil"/>
              <w:left w:val="nil"/>
              <w:bottom w:val="single" w:sz="4" w:space="0" w:color="auto"/>
              <w:right w:val="single" w:sz="4" w:space="0" w:color="auto"/>
            </w:tcBorders>
            <w:vAlign w:val="center"/>
            <w:hideMark/>
          </w:tcPr>
          <w:p w14:paraId="635D41C2"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Immediate nationwide coverage</w:t>
            </w:r>
          </w:p>
        </w:tc>
        <w:tc>
          <w:tcPr>
            <w:tcW w:w="2409" w:type="dxa"/>
            <w:tcBorders>
              <w:top w:val="nil"/>
              <w:left w:val="nil"/>
              <w:bottom w:val="single" w:sz="4" w:space="0" w:color="auto"/>
              <w:right w:val="single" w:sz="4" w:space="0" w:color="auto"/>
            </w:tcBorders>
            <w:vAlign w:val="center"/>
            <w:hideMark/>
          </w:tcPr>
          <w:p w14:paraId="0BB0A32C"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Easy to implement</w:t>
            </w:r>
          </w:p>
        </w:tc>
        <w:tc>
          <w:tcPr>
            <w:tcW w:w="2410" w:type="dxa"/>
            <w:tcBorders>
              <w:top w:val="nil"/>
              <w:left w:val="nil"/>
              <w:bottom w:val="single" w:sz="4" w:space="0" w:color="auto"/>
              <w:right w:val="single" w:sz="4" w:space="0" w:color="auto"/>
            </w:tcBorders>
            <w:vAlign w:val="center"/>
            <w:hideMark/>
          </w:tcPr>
          <w:p w14:paraId="127078F3"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Spectrum pooling</w:t>
            </w:r>
          </w:p>
        </w:tc>
      </w:tr>
      <w:tr w:rsidR="005B1FBA" w:rsidRPr="00E179F9" w14:paraId="296AF28F" w14:textId="77777777" w:rsidTr="00FB08A6">
        <w:trPr>
          <w:trHeight w:val="576"/>
        </w:trPr>
        <w:tc>
          <w:tcPr>
            <w:tcW w:w="1980" w:type="dxa"/>
            <w:vMerge/>
            <w:tcBorders>
              <w:top w:val="nil"/>
              <w:left w:val="single" w:sz="4" w:space="0" w:color="auto"/>
              <w:bottom w:val="single" w:sz="4" w:space="0" w:color="auto"/>
              <w:right w:val="single" w:sz="4" w:space="0" w:color="auto"/>
            </w:tcBorders>
            <w:vAlign w:val="center"/>
            <w:hideMark/>
          </w:tcPr>
          <w:p w14:paraId="4F979168"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p>
        </w:tc>
        <w:tc>
          <w:tcPr>
            <w:tcW w:w="2410" w:type="dxa"/>
            <w:tcBorders>
              <w:top w:val="nil"/>
              <w:left w:val="nil"/>
              <w:bottom w:val="single" w:sz="4" w:space="0" w:color="auto"/>
              <w:right w:val="single" w:sz="4" w:space="0" w:color="auto"/>
            </w:tcBorders>
            <w:vAlign w:val="center"/>
            <w:hideMark/>
          </w:tcPr>
          <w:p w14:paraId="04B22E4F"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Seamless customer experience</w:t>
            </w:r>
          </w:p>
        </w:tc>
        <w:tc>
          <w:tcPr>
            <w:tcW w:w="2409" w:type="dxa"/>
            <w:tcBorders>
              <w:top w:val="nil"/>
              <w:left w:val="nil"/>
              <w:bottom w:val="single" w:sz="4" w:space="0" w:color="auto"/>
              <w:right w:val="single" w:sz="4" w:space="0" w:color="auto"/>
            </w:tcBorders>
            <w:vAlign w:val="center"/>
            <w:hideMark/>
          </w:tcPr>
          <w:p w14:paraId="42A732EA"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Cost savings in infra</w:t>
            </w:r>
          </w:p>
        </w:tc>
        <w:tc>
          <w:tcPr>
            <w:tcW w:w="2410" w:type="dxa"/>
            <w:tcBorders>
              <w:top w:val="nil"/>
              <w:left w:val="nil"/>
              <w:bottom w:val="single" w:sz="4" w:space="0" w:color="auto"/>
              <w:right w:val="single" w:sz="4" w:space="0" w:color="auto"/>
            </w:tcBorders>
            <w:vAlign w:val="center"/>
            <w:hideMark/>
          </w:tcPr>
          <w:p w14:paraId="235906EA"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High synergy &amp; savings</w:t>
            </w:r>
          </w:p>
        </w:tc>
      </w:tr>
      <w:tr w:rsidR="005B1FBA" w:rsidRPr="00E179F9" w14:paraId="541FC4B5" w14:textId="77777777" w:rsidTr="00FB08A6">
        <w:trPr>
          <w:trHeight w:val="576"/>
        </w:trPr>
        <w:tc>
          <w:tcPr>
            <w:tcW w:w="1980" w:type="dxa"/>
            <w:vMerge/>
            <w:tcBorders>
              <w:top w:val="nil"/>
              <w:left w:val="single" w:sz="4" w:space="0" w:color="auto"/>
              <w:bottom w:val="single" w:sz="4" w:space="0" w:color="auto"/>
              <w:right w:val="single" w:sz="4" w:space="0" w:color="auto"/>
            </w:tcBorders>
            <w:vAlign w:val="center"/>
            <w:hideMark/>
          </w:tcPr>
          <w:p w14:paraId="06E83098"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p>
        </w:tc>
        <w:tc>
          <w:tcPr>
            <w:tcW w:w="2410" w:type="dxa"/>
            <w:tcBorders>
              <w:top w:val="nil"/>
              <w:left w:val="nil"/>
              <w:bottom w:val="single" w:sz="4" w:space="0" w:color="auto"/>
              <w:right w:val="single" w:sz="4" w:space="0" w:color="auto"/>
            </w:tcBorders>
            <w:vAlign w:val="center"/>
            <w:hideMark/>
          </w:tcPr>
          <w:p w14:paraId="149CE620"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Quick transitional solution</w:t>
            </w:r>
          </w:p>
        </w:tc>
        <w:tc>
          <w:tcPr>
            <w:tcW w:w="2409" w:type="dxa"/>
            <w:tcBorders>
              <w:top w:val="nil"/>
              <w:left w:val="nil"/>
              <w:bottom w:val="single" w:sz="4" w:space="0" w:color="auto"/>
              <w:right w:val="single" w:sz="4" w:space="0" w:color="auto"/>
            </w:tcBorders>
            <w:vAlign w:val="center"/>
            <w:hideMark/>
          </w:tcPr>
          <w:p w14:paraId="62352839"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Transitional in clusters</w:t>
            </w:r>
          </w:p>
        </w:tc>
        <w:tc>
          <w:tcPr>
            <w:tcW w:w="2410" w:type="dxa"/>
            <w:tcBorders>
              <w:top w:val="nil"/>
              <w:left w:val="nil"/>
              <w:bottom w:val="single" w:sz="4" w:space="0" w:color="auto"/>
              <w:right w:val="single" w:sz="4" w:space="0" w:color="auto"/>
            </w:tcBorders>
            <w:vAlign w:val="center"/>
            <w:hideMark/>
          </w:tcPr>
          <w:p w14:paraId="2C55014D"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Better QoS</w:t>
            </w:r>
          </w:p>
        </w:tc>
      </w:tr>
      <w:tr w:rsidR="005B1FBA" w:rsidRPr="00E179F9" w14:paraId="227FCCB4" w14:textId="77777777" w:rsidTr="00FB08A6">
        <w:trPr>
          <w:trHeight w:val="576"/>
        </w:trPr>
        <w:tc>
          <w:tcPr>
            <w:tcW w:w="1980" w:type="dxa"/>
            <w:vMerge/>
            <w:tcBorders>
              <w:top w:val="nil"/>
              <w:left w:val="single" w:sz="4" w:space="0" w:color="auto"/>
              <w:bottom w:val="single" w:sz="4" w:space="0" w:color="auto"/>
              <w:right w:val="single" w:sz="4" w:space="0" w:color="auto"/>
            </w:tcBorders>
            <w:vAlign w:val="center"/>
            <w:hideMark/>
          </w:tcPr>
          <w:p w14:paraId="61CA3682"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p>
        </w:tc>
        <w:tc>
          <w:tcPr>
            <w:tcW w:w="2410" w:type="dxa"/>
            <w:tcBorders>
              <w:top w:val="nil"/>
              <w:left w:val="nil"/>
              <w:bottom w:val="single" w:sz="4" w:space="0" w:color="auto"/>
              <w:right w:val="single" w:sz="4" w:space="0" w:color="auto"/>
            </w:tcBorders>
            <w:vAlign w:val="center"/>
            <w:hideMark/>
          </w:tcPr>
          <w:p w14:paraId="259A0281"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w:t>
            </w:r>
          </w:p>
        </w:tc>
        <w:tc>
          <w:tcPr>
            <w:tcW w:w="2409" w:type="dxa"/>
            <w:tcBorders>
              <w:top w:val="nil"/>
              <w:left w:val="nil"/>
              <w:bottom w:val="single" w:sz="4" w:space="0" w:color="auto"/>
              <w:right w:val="single" w:sz="4" w:space="0" w:color="auto"/>
            </w:tcBorders>
            <w:vAlign w:val="center"/>
            <w:hideMark/>
          </w:tcPr>
          <w:p w14:paraId="205ECA35"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w:t>
            </w:r>
          </w:p>
        </w:tc>
        <w:tc>
          <w:tcPr>
            <w:tcW w:w="2410" w:type="dxa"/>
            <w:tcBorders>
              <w:top w:val="nil"/>
              <w:left w:val="nil"/>
              <w:bottom w:val="single" w:sz="4" w:space="0" w:color="auto"/>
              <w:right w:val="single" w:sz="4" w:space="0" w:color="auto"/>
            </w:tcBorders>
            <w:vAlign w:val="center"/>
            <w:hideMark/>
          </w:tcPr>
          <w:p w14:paraId="6F8027B2"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Aligned with “one network”</w:t>
            </w:r>
          </w:p>
        </w:tc>
      </w:tr>
      <w:tr w:rsidR="005B1FBA" w:rsidRPr="00E179F9" w14:paraId="30DE9335" w14:textId="77777777" w:rsidTr="00FB08A6">
        <w:trPr>
          <w:trHeight w:val="576"/>
        </w:trPr>
        <w:tc>
          <w:tcPr>
            <w:tcW w:w="1980" w:type="dxa"/>
            <w:vMerge w:val="restart"/>
            <w:tcBorders>
              <w:top w:val="nil"/>
              <w:left w:val="single" w:sz="4" w:space="0" w:color="auto"/>
              <w:bottom w:val="single" w:sz="4" w:space="0" w:color="auto"/>
              <w:right w:val="single" w:sz="4" w:space="0" w:color="auto"/>
            </w:tcBorders>
            <w:vAlign w:val="center"/>
            <w:hideMark/>
          </w:tcPr>
          <w:p w14:paraId="1BDCE4BE"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Cons</w:t>
            </w:r>
          </w:p>
        </w:tc>
        <w:tc>
          <w:tcPr>
            <w:tcW w:w="2410" w:type="dxa"/>
            <w:tcBorders>
              <w:top w:val="nil"/>
              <w:left w:val="nil"/>
              <w:bottom w:val="single" w:sz="4" w:space="0" w:color="auto"/>
              <w:right w:val="single" w:sz="4" w:space="0" w:color="auto"/>
            </w:tcBorders>
            <w:vAlign w:val="center"/>
            <w:hideMark/>
          </w:tcPr>
          <w:p w14:paraId="04400E37"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No infra/spectrum synergy</w:t>
            </w:r>
          </w:p>
        </w:tc>
        <w:tc>
          <w:tcPr>
            <w:tcW w:w="2409" w:type="dxa"/>
            <w:tcBorders>
              <w:top w:val="nil"/>
              <w:left w:val="nil"/>
              <w:bottom w:val="single" w:sz="4" w:space="0" w:color="auto"/>
              <w:right w:val="single" w:sz="4" w:space="0" w:color="auto"/>
            </w:tcBorders>
            <w:vAlign w:val="center"/>
            <w:hideMark/>
          </w:tcPr>
          <w:p w14:paraId="286E0882"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No spectrum pooling</w:t>
            </w:r>
          </w:p>
        </w:tc>
        <w:tc>
          <w:tcPr>
            <w:tcW w:w="2410" w:type="dxa"/>
            <w:tcBorders>
              <w:top w:val="nil"/>
              <w:left w:val="nil"/>
              <w:bottom w:val="single" w:sz="4" w:space="0" w:color="auto"/>
              <w:right w:val="single" w:sz="4" w:space="0" w:color="auto"/>
            </w:tcBorders>
            <w:vAlign w:val="center"/>
            <w:hideMark/>
          </w:tcPr>
          <w:p w14:paraId="2049235E"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High technical complexity</w:t>
            </w:r>
          </w:p>
        </w:tc>
      </w:tr>
      <w:tr w:rsidR="005B1FBA" w:rsidRPr="00E179F9" w14:paraId="319F59EE" w14:textId="77777777" w:rsidTr="00FB08A6">
        <w:trPr>
          <w:trHeight w:val="576"/>
        </w:trPr>
        <w:tc>
          <w:tcPr>
            <w:tcW w:w="1980" w:type="dxa"/>
            <w:vMerge/>
            <w:tcBorders>
              <w:top w:val="nil"/>
              <w:left w:val="single" w:sz="4" w:space="0" w:color="auto"/>
              <w:bottom w:val="single" w:sz="4" w:space="0" w:color="auto"/>
              <w:right w:val="single" w:sz="4" w:space="0" w:color="auto"/>
            </w:tcBorders>
            <w:vAlign w:val="center"/>
            <w:hideMark/>
          </w:tcPr>
          <w:p w14:paraId="65C22BB9"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p>
        </w:tc>
        <w:tc>
          <w:tcPr>
            <w:tcW w:w="2410" w:type="dxa"/>
            <w:tcBorders>
              <w:top w:val="nil"/>
              <w:left w:val="nil"/>
              <w:bottom w:val="single" w:sz="4" w:space="0" w:color="auto"/>
              <w:right w:val="single" w:sz="4" w:space="0" w:color="auto"/>
            </w:tcBorders>
            <w:vAlign w:val="center"/>
            <w:hideMark/>
          </w:tcPr>
          <w:p w14:paraId="65143F62"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QoS depends on dominant network</w:t>
            </w:r>
          </w:p>
        </w:tc>
        <w:tc>
          <w:tcPr>
            <w:tcW w:w="2409" w:type="dxa"/>
            <w:tcBorders>
              <w:top w:val="nil"/>
              <w:left w:val="nil"/>
              <w:bottom w:val="single" w:sz="4" w:space="0" w:color="auto"/>
              <w:right w:val="single" w:sz="4" w:space="0" w:color="auto"/>
            </w:tcBorders>
            <w:vAlign w:val="center"/>
            <w:hideMark/>
          </w:tcPr>
          <w:p w14:paraId="54D07103"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Limited synergy</w:t>
            </w:r>
          </w:p>
        </w:tc>
        <w:tc>
          <w:tcPr>
            <w:tcW w:w="2410" w:type="dxa"/>
            <w:tcBorders>
              <w:top w:val="nil"/>
              <w:left w:val="nil"/>
              <w:bottom w:val="single" w:sz="4" w:space="0" w:color="auto"/>
              <w:right w:val="single" w:sz="4" w:space="0" w:color="auto"/>
            </w:tcBorders>
            <w:vAlign w:val="center"/>
            <w:hideMark/>
          </w:tcPr>
          <w:p w14:paraId="5B8C54D5"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Dual cores in transition</w:t>
            </w:r>
          </w:p>
        </w:tc>
      </w:tr>
      <w:tr w:rsidR="005B1FBA" w:rsidRPr="00E179F9" w14:paraId="54BC25FC" w14:textId="77777777" w:rsidTr="00FB08A6">
        <w:trPr>
          <w:trHeight w:val="288"/>
        </w:trPr>
        <w:tc>
          <w:tcPr>
            <w:tcW w:w="1980" w:type="dxa"/>
            <w:vMerge/>
            <w:tcBorders>
              <w:top w:val="nil"/>
              <w:left w:val="single" w:sz="4" w:space="0" w:color="auto"/>
              <w:bottom w:val="single" w:sz="4" w:space="0" w:color="auto"/>
              <w:right w:val="single" w:sz="4" w:space="0" w:color="auto"/>
            </w:tcBorders>
            <w:vAlign w:val="center"/>
            <w:hideMark/>
          </w:tcPr>
          <w:p w14:paraId="4949BE2D"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p>
        </w:tc>
        <w:tc>
          <w:tcPr>
            <w:tcW w:w="2410" w:type="dxa"/>
            <w:tcBorders>
              <w:top w:val="nil"/>
              <w:left w:val="nil"/>
              <w:bottom w:val="single" w:sz="4" w:space="0" w:color="auto"/>
              <w:right w:val="single" w:sz="4" w:space="0" w:color="auto"/>
            </w:tcBorders>
            <w:vAlign w:val="center"/>
            <w:hideMark/>
          </w:tcPr>
          <w:p w14:paraId="2D119F76"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w:t>
            </w:r>
          </w:p>
        </w:tc>
        <w:tc>
          <w:tcPr>
            <w:tcW w:w="2409" w:type="dxa"/>
            <w:tcBorders>
              <w:top w:val="nil"/>
              <w:left w:val="nil"/>
              <w:bottom w:val="single" w:sz="4" w:space="0" w:color="auto"/>
              <w:right w:val="single" w:sz="4" w:space="0" w:color="auto"/>
            </w:tcBorders>
            <w:vAlign w:val="center"/>
            <w:hideMark/>
          </w:tcPr>
          <w:p w14:paraId="181F46EA"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Higher long-term cost</w:t>
            </w:r>
          </w:p>
        </w:tc>
        <w:tc>
          <w:tcPr>
            <w:tcW w:w="2410" w:type="dxa"/>
            <w:tcBorders>
              <w:top w:val="nil"/>
              <w:left w:val="nil"/>
              <w:bottom w:val="single" w:sz="4" w:space="0" w:color="auto"/>
              <w:right w:val="single" w:sz="4" w:space="0" w:color="auto"/>
            </w:tcBorders>
            <w:vAlign w:val="center"/>
            <w:hideMark/>
          </w:tcPr>
          <w:p w14:paraId="02F038B5"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 </w:t>
            </w:r>
          </w:p>
        </w:tc>
      </w:tr>
      <w:tr w:rsidR="005B1FBA" w:rsidRPr="00E179F9" w14:paraId="04F7316E" w14:textId="77777777" w:rsidTr="00FB08A6">
        <w:trPr>
          <w:trHeight w:val="576"/>
        </w:trPr>
        <w:tc>
          <w:tcPr>
            <w:tcW w:w="1980" w:type="dxa"/>
            <w:tcBorders>
              <w:top w:val="nil"/>
              <w:left w:val="single" w:sz="4" w:space="0" w:color="auto"/>
              <w:bottom w:val="single" w:sz="4" w:space="0" w:color="auto"/>
              <w:right w:val="single" w:sz="4" w:space="0" w:color="auto"/>
            </w:tcBorders>
            <w:vAlign w:val="center"/>
            <w:hideMark/>
          </w:tcPr>
          <w:p w14:paraId="510A1129"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Customer Impact</w:t>
            </w:r>
          </w:p>
        </w:tc>
        <w:tc>
          <w:tcPr>
            <w:tcW w:w="2410" w:type="dxa"/>
            <w:tcBorders>
              <w:top w:val="nil"/>
              <w:left w:val="nil"/>
              <w:bottom w:val="single" w:sz="4" w:space="0" w:color="auto"/>
              <w:right w:val="single" w:sz="4" w:space="0" w:color="auto"/>
            </w:tcBorders>
            <w:vAlign w:val="center"/>
            <w:hideMark/>
          </w:tcPr>
          <w:p w14:paraId="0A412FDC"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Seamless coverage but uneven QoS possible</w:t>
            </w:r>
          </w:p>
        </w:tc>
        <w:tc>
          <w:tcPr>
            <w:tcW w:w="2409" w:type="dxa"/>
            <w:tcBorders>
              <w:top w:val="nil"/>
              <w:left w:val="nil"/>
              <w:bottom w:val="single" w:sz="4" w:space="0" w:color="auto"/>
              <w:right w:val="single" w:sz="4" w:space="0" w:color="auto"/>
            </w:tcBorders>
            <w:vAlign w:val="center"/>
            <w:hideMark/>
          </w:tcPr>
          <w:p w14:paraId="01D5B5DC"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Neutral, minor QoS gains</w:t>
            </w:r>
          </w:p>
        </w:tc>
        <w:tc>
          <w:tcPr>
            <w:tcW w:w="2410" w:type="dxa"/>
            <w:tcBorders>
              <w:top w:val="nil"/>
              <w:left w:val="nil"/>
              <w:bottom w:val="single" w:sz="4" w:space="0" w:color="auto"/>
              <w:right w:val="single" w:sz="4" w:space="0" w:color="auto"/>
            </w:tcBorders>
            <w:vAlign w:val="center"/>
            <w:hideMark/>
          </w:tcPr>
          <w:p w14:paraId="7EAE6F77"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Stronger bandwidth, stable QoS</w:t>
            </w:r>
          </w:p>
        </w:tc>
      </w:tr>
      <w:tr w:rsidR="005B1FBA" w:rsidRPr="00E179F9" w14:paraId="05218AD3" w14:textId="77777777" w:rsidTr="00FB08A6">
        <w:trPr>
          <w:trHeight w:val="288"/>
        </w:trPr>
        <w:tc>
          <w:tcPr>
            <w:tcW w:w="1980" w:type="dxa"/>
            <w:tcBorders>
              <w:top w:val="nil"/>
              <w:left w:val="single" w:sz="4" w:space="0" w:color="auto"/>
              <w:bottom w:val="single" w:sz="4" w:space="0" w:color="auto"/>
              <w:right w:val="single" w:sz="4" w:space="0" w:color="auto"/>
            </w:tcBorders>
            <w:vAlign w:val="center"/>
            <w:hideMark/>
          </w:tcPr>
          <w:p w14:paraId="1A30037C"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Timeline</w:t>
            </w:r>
          </w:p>
        </w:tc>
        <w:tc>
          <w:tcPr>
            <w:tcW w:w="2410" w:type="dxa"/>
            <w:tcBorders>
              <w:top w:val="nil"/>
              <w:left w:val="nil"/>
              <w:bottom w:val="single" w:sz="4" w:space="0" w:color="auto"/>
              <w:right w:val="single" w:sz="4" w:space="0" w:color="auto"/>
            </w:tcBorders>
            <w:vAlign w:val="center"/>
            <w:hideMark/>
          </w:tcPr>
          <w:p w14:paraId="3F025A34"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Immediate</w:t>
            </w:r>
          </w:p>
        </w:tc>
        <w:tc>
          <w:tcPr>
            <w:tcW w:w="2409" w:type="dxa"/>
            <w:tcBorders>
              <w:top w:val="nil"/>
              <w:left w:val="nil"/>
              <w:bottom w:val="single" w:sz="4" w:space="0" w:color="auto"/>
              <w:right w:val="single" w:sz="4" w:space="0" w:color="auto"/>
            </w:tcBorders>
            <w:vAlign w:val="center"/>
            <w:hideMark/>
          </w:tcPr>
          <w:p w14:paraId="584B5288"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Short–Medium</w:t>
            </w:r>
          </w:p>
        </w:tc>
        <w:tc>
          <w:tcPr>
            <w:tcW w:w="2410" w:type="dxa"/>
            <w:tcBorders>
              <w:top w:val="nil"/>
              <w:left w:val="nil"/>
              <w:bottom w:val="single" w:sz="4" w:space="0" w:color="auto"/>
              <w:right w:val="single" w:sz="4" w:space="0" w:color="auto"/>
            </w:tcBorders>
            <w:vAlign w:val="center"/>
            <w:hideMark/>
          </w:tcPr>
          <w:p w14:paraId="5CAA1CD9"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Medium</w:t>
            </w:r>
          </w:p>
        </w:tc>
      </w:tr>
      <w:tr w:rsidR="005B1FBA" w:rsidRPr="00E179F9" w14:paraId="2B3A95F2" w14:textId="77777777" w:rsidTr="00FB08A6">
        <w:trPr>
          <w:trHeight w:val="864"/>
        </w:trPr>
        <w:tc>
          <w:tcPr>
            <w:tcW w:w="1980" w:type="dxa"/>
            <w:tcBorders>
              <w:top w:val="nil"/>
              <w:left w:val="single" w:sz="4" w:space="0" w:color="auto"/>
              <w:bottom w:val="single" w:sz="4" w:space="0" w:color="auto"/>
              <w:right w:val="single" w:sz="4" w:space="0" w:color="auto"/>
            </w:tcBorders>
            <w:vAlign w:val="center"/>
            <w:hideMark/>
          </w:tcPr>
          <w:p w14:paraId="72D779E5"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lastRenderedPageBreak/>
              <w:t>Strategic Role in XLSMART</w:t>
            </w:r>
          </w:p>
        </w:tc>
        <w:tc>
          <w:tcPr>
            <w:tcW w:w="2410" w:type="dxa"/>
            <w:tcBorders>
              <w:top w:val="nil"/>
              <w:left w:val="nil"/>
              <w:bottom w:val="single" w:sz="4" w:space="0" w:color="auto"/>
              <w:right w:val="single" w:sz="4" w:space="0" w:color="auto"/>
            </w:tcBorders>
            <w:vAlign w:val="center"/>
            <w:hideMark/>
          </w:tcPr>
          <w:p w14:paraId="4F6C3DB4"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Chosen as short-term bridge</w:t>
            </w:r>
            <w:r w:rsidRPr="00E179F9">
              <w:rPr>
                <w:rFonts w:ascii="Calibri" w:eastAsia="Times New Roman" w:hAnsi="Calibri" w:cs="Calibri"/>
                <w:color w:val="000000"/>
                <w:sz w:val="22"/>
                <w:szCs w:val="22"/>
                <w:lang w:val="en-ID" w:eastAsia="en-ID"/>
              </w:rPr>
              <w:t xml:space="preserve"> for coverage &amp; service continuity</w:t>
            </w:r>
          </w:p>
        </w:tc>
        <w:tc>
          <w:tcPr>
            <w:tcW w:w="2409" w:type="dxa"/>
            <w:tcBorders>
              <w:top w:val="nil"/>
              <w:left w:val="nil"/>
              <w:bottom w:val="single" w:sz="4" w:space="0" w:color="auto"/>
              <w:right w:val="single" w:sz="4" w:space="0" w:color="auto"/>
            </w:tcBorders>
            <w:vAlign w:val="center"/>
            <w:hideMark/>
          </w:tcPr>
          <w:p w14:paraId="0687F172" w14:textId="77777777" w:rsidR="005B1FBA" w:rsidRPr="00E179F9" w:rsidRDefault="005B1FBA" w:rsidP="00580440">
            <w:pPr>
              <w:snapToGrid/>
              <w:spacing w:afterLines="0" w:after="0"/>
              <w:jc w:val="left"/>
              <w:rPr>
                <w:rFonts w:ascii="Calibri" w:eastAsia="Times New Roman" w:hAnsi="Calibri" w:cs="Calibri"/>
                <w:color w:val="000000"/>
                <w:sz w:val="22"/>
                <w:szCs w:val="22"/>
                <w:lang w:val="en-ID" w:eastAsia="en-ID"/>
              </w:rPr>
            </w:pPr>
            <w:r w:rsidRPr="00E179F9">
              <w:rPr>
                <w:rFonts w:ascii="Calibri" w:eastAsia="Times New Roman" w:hAnsi="Calibri" w:cs="Calibri"/>
                <w:color w:val="000000"/>
                <w:sz w:val="22"/>
                <w:szCs w:val="22"/>
                <w:lang w:val="en-ID" w:eastAsia="en-ID"/>
              </w:rPr>
              <w:t>Not preferred for long-term</w:t>
            </w:r>
          </w:p>
        </w:tc>
        <w:tc>
          <w:tcPr>
            <w:tcW w:w="2410" w:type="dxa"/>
            <w:tcBorders>
              <w:top w:val="nil"/>
              <w:left w:val="nil"/>
              <w:bottom w:val="single" w:sz="4" w:space="0" w:color="auto"/>
              <w:right w:val="single" w:sz="4" w:space="0" w:color="auto"/>
            </w:tcBorders>
            <w:vAlign w:val="center"/>
            <w:hideMark/>
          </w:tcPr>
          <w:p w14:paraId="284647BB" w14:textId="77777777" w:rsidR="005B1FBA" w:rsidRPr="00E179F9" w:rsidRDefault="005B1FBA" w:rsidP="00580440">
            <w:pPr>
              <w:snapToGrid/>
              <w:spacing w:afterLines="0" w:after="0"/>
              <w:jc w:val="left"/>
              <w:rPr>
                <w:rFonts w:ascii="Calibri" w:eastAsia="Times New Roman" w:hAnsi="Calibri" w:cs="Calibri"/>
                <w:b/>
                <w:bCs/>
                <w:color w:val="000000"/>
                <w:sz w:val="22"/>
                <w:szCs w:val="22"/>
                <w:lang w:val="en-ID" w:eastAsia="en-ID"/>
              </w:rPr>
            </w:pPr>
            <w:r w:rsidRPr="00E179F9">
              <w:rPr>
                <w:rFonts w:ascii="Calibri" w:eastAsia="Times New Roman" w:hAnsi="Calibri" w:cs="Calibri"/>
                <w:b/>
                <w:bCs/>
                <w:color w:val="000000"/>
                <w:sz w:val="22"/>
                <w:szCs w:val="22"/>
                <w:lang w:val="en-ID" w:eastAsia="en-ID"/>
              </w:rPr>
              <w:t>Chosen as primary strategy for RAN integration</w:t>
            </w:r>
          </w:p>
        </w:tc>
      </w:tr>
    </w:tbl>
    <w:p w14:paraId="621E57A6" w14:textId="77777777" w:rsidR="00A60527" w:rsidRDefault="00A60527" w:rsidP="00C323FE">
      <w:pPr>
        <w:rPr>
          <w:rFonts w:eastAsia="MS Mincho"/>
          <w:lang w:eastAsia="ja-JP"/>
        </w:rPr>
      </w:pPr>
    </w:p>
    <w:p w14:paraId="33560A95" w14:textId="558172CF" w:rsidR="005B1FBA" w:rsidRPr="00FB08A6" w:rsidRDefault="005B1FBA" w:rsidP="00C323FE">
      <w:pPr>
        <w:rPr>
          <w:lang w:eastAsia="ko-KR"/>
        </w:rPr>
      </w:pPr>
      <w:r w:rsidRPr="00FB08A6">
        <w:rPr>
          <w:lang w:eastAsia="ko-KR"/>
        </w:rPr>
        <w:t>After evaluation, XLSMART has decided to adopt a hybrid approach:</w:t>
      </w:r>
    </w:p>
    <w:p w14:paraId="06E0B8AB" w14:textId="77777777" w:rsidR="005B1FBA" w:rsidRPr="00FB08A6" w:rsidRDefault="005B1FBA" w:rsidP="005B1FBA">
      <w:pPr>
        <w:pStyle w:val="ListParagraph"/>
        <w:numPr>
          <w:ilvl w:val="0"/>
          <w:numId w:val="54"/>
        </w:numPr>
        <w:ind w:left="426"/>
        <w:rPr>
          <w:lang w:eastAsia="ko-KR"/>
        </w:rPr>
      </w:pPr>
      <w:r w:rsidRPr="00FB08A6">
        <w:rPr>
          <w:lang w:eastAsia="ko-KR"/>
        </w:rPr>
        <w:t>National Roaming (NR) will be used as an early-stage quick-win to provide seamless service continuity for customers while physical integration work is ongoing.</w:t>
      </w:r>
    </w:p>
    <w:p w14:paraId="761936FC" w14:textId="77777777" w:rsidR="005B1FBA" w:rsidRPr="00FB08A6" w:rsidRDefault="005B1FBA" w:rsidP="005B1FBA">
      <w:pPr>
        <w:pStyle w:val="ListParagraph"/>
        <w:numPr>
          <w:ilvl w:val="0"/>
          <w:numId w:val="54"/>
        </w:numPr>
        <w:ind w:left="426"/>
        <w:rPr>
          <w:lang w:eastAsia="ko-KR"/>
        </w:rPr>
      </w:pPr>
      <w:r w:rsidRPr="00FB08A6">
        <w:rPr>
          <w:lang w:eastAsia="ko-KR"/>
        </w:rPr>
        <w:t>MOCN will be the primary technical approach for long-term RAN consolidation, allowing spectrum pooling, site rationalization, and eventual single-RAN operation.</w:t>
      </w:r>
    </w:p>
    <w:p w14:paraId="22BD9C89" w14:textId="7FD53BAE" w:rsidR="005B1FBA" w:rsidRPr="00FB08A6" w:rsidRDefault="005B1FBA" w:rsidP="00B119B6">
      <w:pPr>
        <w:pStyle w:val="ListParagraph"/>
        <w:numPr>
          <w:ilvl w:val="0"/>
          <w:numId w:val="54"/>
        </w:numPr>
        <w:ind w:left="426"/>
        <w:rPr>
          <w:lang w:eastAsia="ko-KR"/>
        </w:rPr>
      </w:pPr>
      <w:r w:rsidRPr="00FB08A6">
        <w:rPr>
          <w:lang w:eastAsia="ko-KR"/>
        </w:rPr>
        <w:t>Once the RAN integration is completed, the consolidation will move forward to the Transport layer and finally to the Core network, resulting in one unified end-to-end network.</w:t>
      </w:r>
    </w:p>
    <w:p w14:paraId="5F2AFC26" w14:textId="77777777" w:rsidR="005B1FBA" w:rsidRPr="00FB08A6" w:rsidRDefault="005B1FBA" w:rsidP="00B119B6">
      <w:pPr>
        <w:rPr>
          <w:lang w:eastAsia="ko-KR"/>
        </w:rPr>
      </w:pPr>
      <w:r w:rsidRPr="00FB08A6">
        <w:rPr>
          <w:lang w:eastAsia="ko-KR"/>
        </w:rPr>
        <w:t>Roadmap to one consolidation network:</w:t>
      </w:r>
    </w:p>
    <w:p w14:paraId="0F18297B" w14:textId="77777777" w:rsidR="005B1FBA" w:rsidRPr="00FB08A6" w:rsidRDefault="005B1FBA" w:rsidP="005B1FBA">
      <w:pPr>
        <w:pStyle w:val="ListParagraph"/>
        <w:numPr>
          <w:ilvl w:val="0"/>
          <w:numId w:val="55"/>
        </w:numPr>
        <w:ind w:left="426"/>
        <w:rPr>
          <w:lang w:eastAsia="ko-KR"/>
        </w:rPr>
      </w:pPr>
      <w:r w:rsidRPr="00FB08A6">
        <w:rPr>
          <w:lang w:eastAsia="ko-KR"/>
        </w:rPr>
        <w:t>Phase 1 – National Roaming (NR) : Immediate nationwide coverage continuity</w:t>
      </w:r>
    </w:p>
    <w:p w14:paraId="2CFC07D6" w14:textId="77777777" w:rsidR="005B1FBA" w:rsidRPr="00FB08A6" w:rsidRDefault="005B1FBA" w:rsidP="005B1FBA">
      <w:pPr>
        <w:pStyle w:val="ListParagraph"/>
        <w:numPr>
          <w:ilvl w:val="0"/>
          <w:numId w:val="55"/>
        </w:numPr>
        <w:ind w:left="426"/>
        <w:rPr>
          <w:lang w:eastAsia="ko-KR"/>
        </w:rPr>
      </w:pPr>
      <w:r w:rsidRPr="00FB08A6">
        <w:rPr>
          <w:lang w:eastAsia="ko-KR"/>
        </w:rPr>
        <w:t>Phase 2 – MOCN Deployment : Spectrum pooling and RAN site rationalization</w:t>
      </w:r>
    </w:p>
    <w:p w14:paraId="5BC56067" w14:textId="77777777" w:rsidR="005B1FBA" w:rsidRPr="00FB08A6" w:rsidRDefault="005B1FBA" w:rsidP="005B1FBA">
      <w:pPr>
        <w:pStyle w:val="ListParagraph"/>
        <w:numPr>
          <w:ilvl w:val="0"/>
          <w:numId w:val="55"/>
        </w:numPr>
        <w:ind w:left="426"/>
        <w:rPr>
          <w:lang w:eastAsia="ko-KR"/>
        </w:rPr>
      </w:pPr>
      <w:r w:rsidRPr="00FB08A6">
        <w:rPr>
          <w:lang w:eastAsia="ko-KR"/>
        </w:rPr>
        <w:t>Phase 3 – Transport Integration : Unified fiber/microwave/IP backbone</w:t>
      </w:r>
    </w:p>
    <w:p w14:paraId="3E102A15" w14:textId="77777777" w:rsidR="005B1FBA" w:rsidRPr="00FB08A6" w:rsidRDefault="005B1FBA" w:rsidP="005B1FBA">
      <w:pPr>
        <w:pStyle w:val="ListParagraph"/>
        <w:numPr>
          <w:ilvl w:val="0"/>
          <w:numId w:val="55"/>
        </w:numPr>
        <w:ind w:left="426"/>
        <w:rPr>
          <w:lang w:eastAsia="ko-KR"/>
        </w:rPr>
      </w:pPr>
      <w:r w:rsidRPr="00FB08A6">
        <w:rPr>
          <w:lang w:eastAsia="ko-KR"/>
        </w:rPr>
        <w:t>Phase 4 – Core Integration :  Migration to single unified core network</w:t>
      </w:r>
    </w:p>
    <w:p w14:paraId="0CD5CC16" w14:textId="4467C1AB" w:rsidR="005B1FBA" w:rsidRPr="002B20D3" w:rsidRDefault="005B1FBA" w:rsidP="002B20D3">
      <w:pPr>
        <w:pStyle w:val="ListParagraph"/>
        <w:ind w:left="0"/>
        <w:rPr>
          <w:rFonts w:eastAsia="MS Mincho"/>
          <w:lang w:eastAsia="ja-JP"/>
        </w:rPr>
      </w:pPr>
      <w:r w:rsidRPr="00FB08A6">
        <w:rPr>
          <w:lang w:eastAsia="ko-KR"/>
        </w:rPr>
        <w:t>By choosing MOCN and NR as its strategic pillars, XLSMART ensures both short-term service continuity and long-term efficiency. NR provides an immediate solution during the transition, while MOCN delivers the structural foundation for a fully unified RAN, enabling transport and core consolidation afterward. This strategy guarantees cost efficiency, regulatory alignment, and superior customer experience, ultimately creating one integrated network for Indonesia’s digital future.</w:t>
      </w:r>
    </w:p>
    <w:p w14:paraId="4DFF481B" w14:textId="509C7AEB" w:rsidR="00F82E13" w:rsidRPr="00B22444" w:rsidRDefault="00620F97" w:rsidP="00630F7B">
      <w:pPr>
        <w:pStyle w:val="Heading1"/>
        <w:spacing w:after="120"/>
      </w:pPr>
      <w:r>
        <w:rPr>
          <w:rFonts w:eastAsia="MS Mincho" w:hint="eastAsia"/>
          <w:lang w:eastAsia="ja-JP"/>
        </w:rPr>
        <w:t>Summary</w:t>
      </w:r>
    </w:p>
    <w:p w14:paraId="73020072" w14:textId="495823ED" w:rsidR="003845E8" w:rsidRPr="00E410C7" w:rsidRDefault="003845E8" w:rsidP="003845E8">
      <w:pPr>
        <w:rPr>
          <w:rFonts w:eastAsia="MS Mincho"/>
          <w:lang w:val="en-GB" w:eastAsia="ja-JP"/>
        </w:rPr>
      </w:pPr>
      <w:r w:rsidRPr="00E410C7">
        <w:rPr>
          <w:rFonts w:eastAsia="MS Mincho"/>
          <w:lang w:val="en-GB" w:eastAsia="ja-JP"/>
        </w:rPr>
        <w:t>Infrastructure sharing in IMT networks has become an important mechanism that allows multiple MNOs to share infrastructure and resources. It offers several benefits, such as cost reduction, more efficient expansion of mobile broadband coverage, and contributions to sustainability and green networks.</w:t>
      </w:r>
    </w:p>
    <w:p w14:paraId="2ED8091B" w14:textId="77777777" w:rsidR="003845E8" w:rsidRPr="00E410C7" w:rsidRDefault="003845E8" w:rsidP="003845E8">
      <w:pPr>
        <w:rPr>
          <w:rFonts w:eastAsia="MS Mincho"/>
          <w:lang w:val="en-GB" w:eastAsia="ja-JP"/>
        </w:rPr>
      </w:pPr>
      <w:r w:rsidRPr="00E410C7">
        <w:rPr>
          <w:rFonts w:eastAsia="MS Mincho"/>
          <w:lang w:val="en-GB" w:eastAsia="ja-JP"/>
        </w:rPr>
        <w:t>Various types of network infrastructure, such as sites, towers, RAN, and spectrum, can be considered for sharing. Sharing models are generally classified into active and passive categories: passive sharing targets physical sites, buildings, and power facilities, while active sharing involves electronic network elements such as RAN and core network equipment. Spectrum sharing can also be implemented, which may improve the efficiency of spectrum utilization. For RAN/spectrum sharing, there are different technologies, such as MORAN and MOCN, each with its own advantages and disadvantages. Additionally, national/domestic roaming, MVNOs, and spectrum leasing are other forms of sharing.</w:t>
      </w:r>
    </w:p>
    <w:p w14:paraId="6C66182F" w14:textId="1D25BBEF" w:rsidR="003845E8" w:rsidRPr="00E410C7" w:rsidRDefault="003845E8" w:rsidP="003845E8">
      <w:pPr>
        <w:rPr>
          <w:rFonts w:eastAsia="MS Mincho"/>
          <w:lang w:val="en-GB" w:eastAsia="ja-JP"/>
        </w:rPr>
      </w:pPr>
      <w:r w:rsidRPr="00E410C7">
        <w:rPr>
          <w:rFonts w:eastAsia="MS Mincho"/>
          <w:lang w:val="en-GB" w:eastAsia="ja-JP"/>
        </w:rPr>
        <w:t xml:space="preserve">It is important to note that, since infrastructure sharing could </w:t>
      </w:r>
      <w:r w:rsidR="00F06D8C" w:rsidRPr="00E410C7">
        <w:rPr>
          <w:rFonts w:eastAsia="MS Mincho" w:hint="eastAsia"/>
          <w:lang w:val="en-GB" w:eastAsia="ja-JP"/>
        </w:rPr>
        <w:t>have some implication</w:t>
      </w:r>
      <w:r w:rsidR="00E410C7" w:rsidRPr="00E410C7">
        <w:rPr>
          <w:rFonts w:eastAsia="MS Mincho" w:hint="eastAsia"/>
          <w:lang w:val="en-GB" w:eastAsia="ja-JP"/>
        </w:rPr>
        <w:t>s</w:t>
      </w:r>
      <w:r w:rsidR="00F06D8C" w:rsidRPr="00E410C7">
        <w:rPr>
          <w:rFonts w:eastAsia="MS Mincho" w:hint="eastAsia"/>
          <w:lang w:val="en-GB" w:eastAsia="ja-JP"/>
        </w:rPr>
        <w:t xml:space="preserve"> on market com</w:t>
      </w:r>
      <w:r w:rsidR="00A777CC" w:rsidRPr="00E410C7">
        <w:rPr>
          <w:rFonts w:eastAsia="MS Mincho" w:hint="eastAsia"/>
          <w:lang w:val="en-GB" w:eastAsia="ja-JP"/>
        </w:rPr>
        <w:t>petition,</w:t>
      </w:r>
      <w:r w:rsidRPr="00E410C7">
        <w:rPr>
          <w:rFonts w:eastAsia="MS Mincho"/>
          <w:lang w:val="en-GB" w:eastAsia="ja-JP"/>
        </w:rPr>
        <w:t xml:space="preserve"> it is crucial to establish appropriate policies tailored to the circumstances of each country. Governments and regulators should proactively establish supportive frameworks to promote infrastructure sharing.</w:t>
      </w:r>
    </w:p>
    <w:p w14:paraId="4F440824" w14:textId="195EED4E" w:rsidR="003845E8" w:rsidRPr="00E410C7" w:rsidRDefault="003845E8" w:rsidP="003845E8">
      <w:pPr>
        <w:rPr>
          <w:rFonts w:eastAsia="MS Mincho"/>
          <w:lang w:val="en-GB" w:eastAsia="ja-JP"/>
        </w:rPr>
      </w:pPr>
      <w:r w:rsidRPr="00E410C7">
        <w:rPr>
          <w:rFonts w:eastAsia="MS Mincho"/>
          <w:lang w:val="en-GB" w:eastAsia="ja-JP"/>
        </w:rPr>
        <w:t>This Report also includes several case studies provided by APT Members regarding infrastructure sharing in their respective countries. Additionally, the Annex to this Report provides information on the policy and regulatory aspects of infrastructure sharing considered outside the Asia-Pacific region.</w:t>
      </w:r>
    </w:p>
    <w:p w14:paraId="5D7860F5" w14:textId="2E28A355" w:rsidR="00DE6044" w:rsidRDefault="003845E8" w:rsidP="00630F7B">
      <w:pPr>
        <w:rPr>
          <w:rFonts w:eastAsia="MS Mincho"/>
          <w:lang w:val="en-GB" w:eastAsia="ja-JP"/>
        </w:rPr>
      </w:pPr>
      <w:proofErr w:type="gramStart"/>
      <w:r w:rsidRPr="00E410C7">
        <w:rPr>
          <w:rFonts w:eastAsia="MS Mincho"/>
          <w:lang w:val="en-GB" w:eastAsia="ja-JP"/>
        </w:rPr>
        <w:lastRenderedPageBreak/>
        <w:t>In order for</w:t>
      </w:r>
      <w:proofErr w:type="gramEnd"/>
      <w:r w:rsidRPr="00E410C7">
        <w:rPr>
          <w:rFonts w:eastAsia="MS Mincho"/>
          <w:lang w:val="en-GB" w:eastAsia="ja-JP"/>
        </w:rPr>
        <w:t xml:space="preserve"> the Asia-Pacific countries to maximize the benefits of RAN and spectrum sharing in IMT networks, it </w:t>
      </w:r>
      <w:r w:rsidR="00AB5615" w:rsidRPr="00E410C7">
        <w:rPr>
          <w:rFonts w:eastAsia="MS Mincho" w:hint="eastAsia"/>
          <w:lang w:val="en-GB" w:eastAsia="ja-JP"/>
        </w:rPr>
        <w:t>may be useful</w:t>
      </w:r>
      <w:r w:rsidRPr="00E410C7">
        <w:rPr>
          <w:rFonts w:eastAsia="MS Mincho"/>
          <w:lang w:val="en-GB" w:eastAsia="ja-JP"/>
        </w:rPr>
        <w:t xml:space="preserve"> to </w:t>
      </w:r>
      <w:r w:rsidR="00D57A88" w:rsidRPr="00E410C7">
        <w:rPr>
          <w:rFonts w:eastAsia="MS Mincho" w:hint="eastAsia"/>
          <w:lang w:val="en-GB" w:eastAsia="ja-JP"/>
        </w:rPr>
        <w:t>include</w:t>
      </w:r>
      <w:r w:rsidRPr="00E410C7">
        <w:rPr>
          <w:rFonts w:eastAsia="MS Mincho"/>
          <w:lang w:val="en-GB" w:eastAsia="ja-JP"/>
        </w:rPr>
        <w:t xml:space="preserve"> </w:t>
      </w:r>
      <w:r w:rsidR="0080435C" w:rsidRPr="00E410C7">
        <w:rPr>
          <w:rFonts w:eastAsia="MS Mincho" w:hint="eastAsia"/>
          <w:lang w:val="en-GB" w:eastAsia="ja-JP"/>
        </w:rPr>
        <w:t>further</w:t>
      </w:r>
      <w:r w:rsidRPr="00E410C7">
        <w:rPr>
          <w:rFonts w:eastAsia="MS Mincho"/>
          <w:lang w:val="en-GB" w:eastAsia="ja-JP"/>
        </w:rPr>
        <w:t xml:space="preserve"> information, new case studies, and supporting materials regarding the deployment and adoption of RAN and spectrum sharing</w:t>
      </w:r>
      <w:r w:rsidR="00D57A88" w:rsidRPr="00E410C7">
        <w:rPr>
          <w:rFonts w:eastAsia="MS Mincho" w:hint="eastAsia"/>
          <w:lang w:val="en-GB" w:eastAsia="ja-JP"/>
        </w:rPr>
        <w:t>, when they become available</w:t>
      </w:r>
      <w:r w:rsidRPr="00E410C7">
        <w:rPr>
          <w:rFonts w:eastAsia="MS Mincho"/>
          <w:lang w:val="en-GB" w:eastAsia="ja-JP"/>
        </w:rPr>
        <w:t>.</w:t>
      </w:r>
    </w:p>
    <w:p w14:paraId="44532495" w14:textId="77777777" w:rsidR="002B20D3" w:rsidRDefault="002B20D3" w:rsidP="00630F7B">
      <w:pPr>
        <w:rPr>
          <w:rFonts w:eastAsia="MS Mincho"/>
          <w:lang w:val="en-GB" w:eastAsia="ja-JP"/>
        </w:rPr>
      </w:pPr>
    </w:p>
    <w:p w14:paraId="6E2C6F1E" w14:textId="77777777" w:rsidR="001E4225" w:rsidRDefault="005A2C76" w:rsidP="00600348">
      <w:pPr>
        <w:pStyle w:val="Heading1"/>
        <w:numPr>
          <w:ilvl w:val="0"/>
          <w:numId w:val="0"/>
        </w:numPr>
        <w:spacing w:after="120"/>
        <w:ind w:left="567" w:hanging="567"/>
      </w:pPr>
      <w:r>
        <w:t xml:space="preserve">Annex: </w:t>
      </w:r>
    </w:p>
    <w:p w14:paraId="39AFC31E" w14:textId="658FBAFD" w:rsidR="005A2C76" w:rsidRPr="0026265B" w:rsidRDefault="005A2C76" w:rsidP="001E4225">
      <w:pPr>
        <w:pStyle w:val="Heading2"/>
        <w:numPr>
          <w:ilvl w:val="0"/>
          <w:numId w:val="0"/>
        </w:numPr>
        <w:spacing w:after="120"/>
        <w:ind w:left="360" w:hanging="360"/>
        <w:rPr>
          <w:rFonts w:eastAsia="MS Mincho"/>
          <w:lang w:eastAsia="ja-JP"/>
        </w:rPr>
      </w:pPr>
      <w:r>
        <w:t xml:space="preserve">Policy and Regulatory aspects of </w:t>
      </w:r>
      <w:r w:rsidR="00A66F43">
        <w:t>Infrastructure</w:t>
      </w:r>
      <w:r>
        <w:t xml:space="preserve"> sharing </w:t>
      </w:r>
      <w:r w:rsidR="00F366C5">
        <w:rPr>
          <w:rFonts w:eastAsia="MS Mincho" w:hint="eastAsia"/>
          <w:lang w:eastAsia="ja-JP"/>
        </w:rPr>
        <w:t>(</w:t>
      </w:r>
      <w:r>
        <w:t xml:space="preserve">Outside </w:t>
      </w:r>
      <w:r w:rsidR="00F366C5">
        <w:rPr>
          <w:rFonts w:eastAsia="MS Mincho" w:hint="eastAsia"/>
          <w:lang w:eastAsia="ja-JP"/>
        </w:rPr>
        <w:t xml:space="preserve">the </w:t>
      </w:r>
      <w:r w:rsidR="00D34941">
        <w:rPr>
          <w:rFonts w:eastAsia="MS Mincho" w:hint="eastAsia"/>
          <w:lang w:eastAsia="ja-JP"/>
        </w:rPr>
        <w:t>Asia-Pacific region</w:t>
      </w:r>
      <w:r w:rsidR="00F366C5">
        <w:rPr>
          <w:rFonts w:eastAsia="MS Mincho" w:hint="eastAsia"/>
          <w:lang w:eastAsia="ja-JP"/>
        </w:rPr>
        <w:t>)</w:t>
      </w:r>
    </w:p>
    <w:p w14:paraId="26DD1B0F" w14:textId="77777777" w:rsidR="005A2C76" w:rsidRPr="00600348" w:rsidRDefault="005A2C76" w:rsidP="00630F7B">
      <w:pPr>
        <w:pStyle w:val="ListParagraph"/>
        <w:numPr>
          <w:ilvl w:val="0"/>
          <w:numId w:val="36"/>
        </w:numPr>
      </w:pPr>
      <w:r w:rsidRPr="00600348">
        <w:t>BEREC (</w:t>
      </w:r>
      <w:r w:rsidRPr="00600348">
        <w:rPr>
          <w:rStyle w:val="Strong"/>
          <w:b w:val="0"/>
          <w:bCs w:val="0"/>
        </w:rPr>
        <w:t>Body of European Regulators for Electronic Communications)</w:t>
      </w:r>
      <w:r w:rsidRPr="00600348">
        <w:t xml:space="preserve"> Report on infrastructure sharing</w:t>
      </w:r>
    </w:p>
    <w:p w14:paraId="0B63DB08" w14:textId="77777777" w:rsidR="005A2C76" w:rsidRDefault="005A2C76" w:rsidP="00013AFE">
      <w:pPr>
        <w:ind w:leftChars="100" w:left="240"/>
      </w:pPr>
      <w:r>
        <w:t>- Current regulations and legal framework for infrastructure sharing in different countries, including information-sharing requirements, NRA powers, infrastructure sharing obligations and any guidelines in place to support operators.</w:t>
      </w:r>
    </w:p>
    <w:p w14:paraId="10D66773" w14:textId="77777777" w:rsidR="005A2C76" w:rsidRDefault="005A2C76" w:rsidP="00013AFE">
      <w:pPr>
        <w:ind w:leftChars="100" w:left="240"/>
      </w:pPr>
      <w:r>
        <w:t>- Current sharing arrangements: Active sharing with joint deployment, National roaming (without joint deployment), Passive sharing, Special agreements, Further agreements; Assessments and/or decisions on infrastructure sharing.</w:t>
      </w:r>
    </w:p>
    <w:p w14:paraId="0C4B5A55" w14:textId="77777777" w:rsidR="005A2C76" w:rsidRDefault="005A2C76" w:rsidP="00013AFE">
      <w:pPr>
        <w:ind w:leftChars="100" w:left="240"/>
      </w:pPr>
      <w:r>
        <w:t>- Benefits and challenges from infrastructure sharing arrangements: Benefits of sharing, Challenges and downsides associated with sharing, General experiences with sharing agreements (including of Negative experiences, Neutral experiences and Positive experiences,</w:t>
      </w:r>
      <w:r w:rsidRPr="008A21C1">
        <w:t xml:space="preserve"> </w:t>
      </w:r>
      <w:r>
        <w:t>Barriers to increase infrastructure sharing</w:t>
      </w:r>
    </w:p>
    <w:p w14:paraId="41D52128" w14:textId="77777777" w:rsidR="005A2C76" w:rsidRDefault="005A2C76" w:rsidP="00013AFE">
      <w:pPr>
        <w:ind w:leftChars="100" w:left="240"/>
      </w:pPr>
      <w:r>
        <w:t>- Future evolution of sharing arrangements and the role of 5G in shaping requirements/regulatory framework: Most countries expect that infrastructure sharing will become more important in the future.</w:t>
      </w:r>
    </w:p>
    <w:p w14:paraId="2865D0CD" w14:textId="77777777" w:rsidR="005A2C76" w:rsidRDefault="005A2C76" w:rsidP="00013AFE">
      <w:pPr>
        <w:ind w:leftChars="100" w:left="240"/>
      </w:pPr>
      <w:r>
        <w:t>Most NRAs, however, believe that continued market monitoring will be required before NRAs can take informed decisions in the context of deployment of 5G. The development of best practices – and their relevance to 5G – will also rely on past experiences of NRAs in addressing potential challenges related to infrastructure sharing agreements.</w:t>
      </w:r>
    </w:p>
    <w:p w14:paraId="65081712" w14:textId="77777777" w:rsidR="005A2C76" w:rsidRDefault="005A2C76" w:rsidP="00013AFE">
      <w:pPr>
        <w:ind w:leftChars="100" w:left="240"/>
      </w:pPr>
      <w:r>
        <w:t xml:space="preserve">Some NRAs state that local authorities and/or legislation should support 5G (Bulgaria, Norway). Some countries think that the regulatory framework is appropriate and sharing agreements </w:t>
      </w:r>
      <w:proofErr w:type="gramStart"/>
      <w:r>
        <w:t>have to</w:t>
      </w:r>
      <w:proofErr w:type="gramEnd"/>
      <w:r>
        <w:t xml:space="preserve"> be mainly commercially based (Finland, Netherland, Sweden, Switzerland, Turkey, UK) and competition law provides a sufficient framework to assess which sharing is desirable (and allowed) and which not (Netherland). Some countries think that infrastructure sharing might be related to </w:t>
      </w:r>
      <w:proofErr w:type="spellStart"/>
      <w:r>
        <w:t>licence</w:t>
      </w:r>
      <w:proofErr w:type="spellEnd"/>
      <w:r>
        <w:t xml:space="preserve"> exempt spectrum bands (Denmark, Ireland).</w:t>
      </w:r>
    </w:p>
    <w:p w14:paraId="0269FC23" w14:textId="77777777" w:rsidR="005A2C76" w:rsidRDefault="005A2C76" w:rsidP="00013AFE">
      <w:pPr>
        <w:ind w:leftChars="100" w:left="240"/>
      </w:pPr>
      <w:r>
        <w:t xml:space="preserve">Some countries explicitly mention that competition </w:t>
      </w:r>
      <w:proofErr w:type="gramStart"/>
      <w:r>
        <w:t>has to</w:t>
      </w:r>
      <w:proofErr w:type="gramEnd"/>
      <w:r>
        <w:t xml:space="preserve"> be maintained (Czech Republic, Denmark, Serbia). Individual countries see a risk that MNOs through exclusivity agreements with infrastructure owners could impede the rollout of other MNOs (France) or want to impose the sharing of passive sites. An individual country states that service competition may suffice (Belgium).</w:t>
      </w:r>
    </w:p>
    <w:p w14:paraId="36FA8216" w14:textId="77777777" w:rsidR="005A2C76" w:rsidRDefault="005A2C76" w:rsidP="00013AFE">
      <w:pPr>
        <w:ind w:leftChars="100" w:left="240"/>
      </w:pPr>
      <w:r>
        <w:t xml:space="preserve">To sum up, countries expect that 5G will be especially related to more small cells and higher backhaul capacity. It is believed that there will be an increase or at least an increased need in sharing (passive, active, backhaul, active indoor spectrum and others). Some countries state that operators concluding exclusivity agreements with infrastructure owners could impede other operators’ rollout. It should therefore </w:t>
      </w:r>
      <w:proofErr w:type="gramStart"/>
      <w:r>
        <w:t>be ensured</w:t>
      </w:r>
      <w:proofErr w:type="gramEnd"/>
      <w:r>
        <w:t xml:space="preserve"> that sharing does not lower competition</w:t>
      </w:r>
      <w:r w:rsidR="00F96C19">
        <w:t>.</w:t>
      </w:r>
    </w:p>
    <w:p w14:paraId="718867A9" w14:textId="77777777" w:rsidR="005A2C76" w:rsidRDefault="005A2C76" w:rsidP="00630F7B">
      <w:pPr>
        <w:pStyle w:val="ListParagraph"/>
        <w:numPr>
          <w:ilvl w:val="0"/>
          <w:numId w:val="36"/>
        </w:numPr>
      </w:pPr>
      <w:r w:rsidRPr="001A15B2">
        <w:t xml:space="preserve">Shared Access </w:t>
      </w:r>
      <w:proofErr w:type="spellStart"/>
      <w:r w:rsidRPr="001A15B2">
        <w:t>Licence</w:t>
      </w:r>
      <w:proofErr w:type="spellEnd"/>
      <w:r w:rsidRPr="001A15B2">
        <w:t xml:space="preserve"> - Guidance document (OFCOM)</w:t>
      </w:r>
      <w:r>
        <w:t>:</w:t>
      </w:r>
    </w:p>
    <w:p w14:paraId="18FDBD67" w14:textId="77777777" w:rsidR="005A2C76" w:rsidRDefault="005A2C76" w:rsidP="00013AFE">
      <w:pPr>
        <w:ind w:leftChars="100" w:left="240"/>
      </w:pPr>
      <w:r>
        <w:lastRenderedPageBreak/>
        <w:t xml:space="preserve">- The Shared Access </w:t>
      </w:r>
      <w:proofErr w:type="spellStart"/>
      <w:r>
        <w:t>licence</w:t>
      </w:r>
      <w:proofErr w:type="spellEnd"/>
      <w:r>
        <w:t xml:space="preserve"> is part of a new framework for enabling shared use of spectrum and is currently available in four different bands: the 1800 MHz shared spectrum; the 2300 MHz shared spectrum; 3.8-4.2 GHz; the lower 26 GHz band.</w:t>
      </w:r>
    </w:p>
    <w:p w14:paraId="5957C766" w14:textId="77777777" w:rsidR="005A2C76" w:rsidRDefault="005A2C76" w:rsidP="00013AFE">
      <w:pPr>
        <w:ind w:leftChars="100" w:left="240"/>
      </w:pPr>
      <w:r>
        <w:t xml:space="preserve">- There are two kinds of </w:t>
      </w:r>
      <w:proofErr w:type="spellStart"/>
      <w:r>
        <w:t>licence</w:t>
      </w:r>
      <w:proofErr w:type="spellEnd"/>
      <w:r>
        <w:t xml:space="preserve">: low power and medium power Shared Access </w:t>
      </w:r>
      <w:proofErr w:type="spellStart"/>
      <w:r>
        <w:t>licence</w:t>
      </w:r>
      <w:proofErr w:type="spellEnd"/>
      <w:r>
        <w:t xml:space="preserve"> (including technical conditions).</w:t>
      </w:r>
    </w:p>
    <w:p w14:paraId="178969A0" w14:textId="77777777" w:rsidR="005A2C76" w:rsidRDefault="005A2C76" w:rsidP="00013AFE">
      <w:pPr>
        <w:ind w:leftChars="100" w:left="240"/>
      </w:pPr>
      <w:r>
        <w:t xml:space="preserve">- </w:t>
      </w:r>
      <w:proofErr w:type="spellStart"/>
      <w:r>
        <w:t>Licence</w:t>
      </w:r>
      <w:proofErr w:type="spellEnd"/>
      <w:r>
        <w:t xml:space="preserve"> fees and non-technical </w:t>
      </w:r>
      <w:proofErr w:type="spellStart"/>
      <w:r>
        <w:t>licence</w:t>
      </w:r>
      <w:proofErr w:type="spellEnd"/>
      <w:r>
        <w:t xml:space="preserve"> conditions (</w:t>
      </w:r>
      <w:proofErr w:type="spellStart"/>
      <w:r>
        <w:t>Licence</w:t>
      </w:r>
      <w:proofErr w:type="spellEnd"/>
      <w:r>
        <w:t xml:space="preserve"> duration and revocation; Trading the </w:t>
      </w:r>
      <w:proofErr w:type="spellStart"/>
      <w:r>
        <w:t>licence</w:t>
      </w:r>
      <w:proofErr w:type="spellEnd"/>
      <w:r>
        <w:t xml:space="preserve"> to someone else; Keeping records and providing information to Ofcom; Accessing, modifying and shutting down your equipment if something goes wrong; Changing frequency if we ask you to do so).</w:t>
      </w:r>
    </w:p>
    <w:p w14:paraId="0DA5E33D" w14:textId="77777777" w:rsidR="005A2C76" w:rsidRDefault="005A2C76" w:rsidP="00630F7B">
      <w:r w:rsidRPr="008D40C3">
        <w:rPr>
          <w:noProof/>
          <w:lang w:val="en-GB" w:eastAsia="en-GB"/>
        </w:rPr>
        <w:drawing>
          <wp:inline distT="0" distB="0" distL="0" distR="0" wp14:anchorId="05B12F0E" wp14:editId="7966D033">
            <wp:extent cx="5824855" cy="339598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4855" cy="3395980"/>
                    </a:xfrm>
                    <a:prstGeom prst="rect">
                      <a:avLst/>
                    </a:prstGeom>
                  </pic:spPr>
                </pic:pic>
              </a:graphicData>
            </a:graphic>
          </wp:inline>
        </w:drawing>
      </w:r>
    </w:p>
    <w:p w14:paraId="300B52E8" w14:textId="77777777" w:rsidR="00577A82" w:rsidRDefault="005A2C76" w:rsidP="00013AFE">
      <w:pPr>
        <w:jc w:val="center"/>
      </w:pPr>
      <w:r>
        <w:t>Examples of Shared Access spectrum developments in Europe (Source: Ofcom)</w:t>
      </w:r>
    </w:p>
    <w:p w14:paraId="3D786D84" w14:textId="77777777" w:rsidR="00092C35" w:rsidRPr="00013AFE" w:rsidRDefault="00092C35" w:rsidP="00DF1BC5">
      <w:pPr>
        <w:pStyle w:val="Heading2"/>
        <w:numPr>
          <w:ilvl w:val="0"/>
          <w:numId w:val="0"/>
        </w:numPr>
        <w:spacing w:after="120"/>
        <w:ind w:left="360" w:hanging="360"/>
      </w:pPr>
      <w:r w:rsidRPr="00013AFE">
        <w:t>Mandated sharing and risks</w:t>
      </w:r>
      <w:r w:rsidR="00AD3E2F" w:rsidRPr="00013AFE">
        <w:t xml:space="preserve"> of SWNs</w:t>
      </w:r>
    </w:p>
    <w:p w14:paraId="500E359F" w14:textId="77777777" w:rsidR="00092C35" w:rsidRPr="00013AFE" w:rsidRDefault="00092C35" w:rsidP="00DF1BC5">
      <w:r w:rsidRPr="00013AFE">
        <w:t>Single wholesale networks (SWNs) or wholesale open access networks (WOAN) are much less common. Like network sharing arrangements, SWNs are also based on rationale of reducing both network capex requirements and end-user service costs. Unlike voluntary sharing agreements, SWNs are mandated – they are not voluntary and lack the flexibility for operators to determine the best arrangement for sharing.  Instead of relying on competing mobile networks and voluntary network and spectrum sharing arrangements to deliver mobile broadband services in their country, such proposals specify at least partial network ownership and financing by the government.</w:t>
      </w:r>
    </w:p>
    <w:p w14:paraId="4C2BF857" w14:textId="77777777" w:rsidR="00092C35" w:rsidRPr="00013AFE" w:rsidRDefault="00092C35" w:rsidP="00DF1BC5">
      <w:pPr>
        <w:rPr>
          <w:lang w:val="en-GB"/>
        </w:rPr>
      </w:pPr>
      <w:r w:rsidRPr="00013AFE">
        <w:t>While there are variations in the SWN proposals discussed and implemented by different governments, in most cases, operators are also limited to provide mobile broadband in one technology (4G or 5G) solely via the SWN. There have been examples of such arrangements in Mexico and Rwanda, and most recently in Malaysia</w:t>
      </w:r>
      <w:r w:rsidRPr="00013AFE">
        <w:rPr>
          <w:rStyle w:val="FootnoteReference"/>
        </w:rPr>
        <w:footnoteReference w:id="11"/>
      </w:r>
      <w:r w:rsidRPr="00013AFE">
        <w:t xml:space="preserve">. </w:t>
      </w:r>
    </w:p>
    <w:p w14:paraId="1A225B94" w14:textId="77777777" w:rsidR="00092C35" w:rsidRPr="00013AFE" w:rsidRDefault="00092C35" w:rsidP="00DF1BC5">
      <w:r w:rsidRPr="00013AFE">
        <w:rPr>
          <w:lang w:val="en-GB"/>
        </w:rPr>
        <w:lastRenderedPageBreak/>
        <w:t xml:space="preserve">SWNs have not proved successful to date and the plans have largely been abandoned for competition-based approaches. </w:t>
      </w:r>
      <w:r w:rsidRPr="00013AFE">
        <w:t xml:space="preserve">Two important reasons are the lack of take-up of their services and the fact that coverage improvements have been slower compared to competitive rollouts. SWNs lead to highly controlled and monopolistic networks, </w:t>
      </w:r>
      <w:proofErr w:type="gramStart"/>
      <w:r w:rsidRPr="00013AFE">
        <w:t>tend</w:t>
      </w:r>
      <w:proofErr w:type="gramEnd"/>
      <w:r w:rsidRPr="00013AFE">
        <w:t xml:space="preserve"> to encourage high consumer prices, which has resulted in low adoption. Other shortcomings illustrated by real-world use cases include SWN licensees that have been unable to recoup investments. The results of nearly all SWN initiatives have been idle spectrum, lower levels of innovation, limited socioeconomic benefits, and restricted quality of service.</w:t>
      </w:r>
    </w:p>
    <w:p w14:paraId="331FEEF8" w14:textId="77777777" w:rsidR="00092C35" w:rsidRPr="00013AFE" w:rsidRDefault="00092C35" w:rsidP="00092C35">
      <w:pPr>
        <w:pStyle w:val="Default"/>
        <w:snapToGrid w:val="0"/>
        <w:spacing w:afterLines="50" w:after="120" w:line="276" w:lineRule="auto"/>
        <w:ind w:leftChars="200" w:left="480"/>
        <w:jc w:val="center"/>
      </w:pPr>
      <w:r w:rsidRPr="00013AFE">
        <w:rPr>
          <w:noProof/>
        </w:rPr>
        <w:drawing>
          <wp:inline distT="0" distB="0" distL="0" distR="0" wp14:anchorId="07469542" wp14:editId="39D8B694">
            <wp:extent cx="5824855" cy="2814955"/>
            <wp:effectExtent l="0" t="0" r="4445" b="4445"/>
            <wp:docPr id="1843111921"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11921" name="Picture 1" descr="A close-up of a diagram&#10;&#10;Description automatically generated"/>
                    <pic:cNvPicPr/>
                  </pic:nvPicPr>
                  <pic:blipFill>
                    <a:blip r:embed="rId24"/>
                    <a:stretch>
                      <a:fillRect/>
                    </a:stretch>
                  </pic:blipFill>
                  <pic:spPr>
                    <a:xfrm>
                      <a:off x="0" y="0"/>
                      <a:ext cx="5824855" cy="2814955"/>
                    </a:xfrm>
                    <a:prstGeom prst="rect">
                      <a:avLst/>
                    </a:prstGeom>
                  </pic:spPr>
                </pic:pic>
              </a:graphicData>
            </a:graphic>
          </wp:inline>
        </w:drawing>
      </w:r>
    </w:p>
    <w:p w14:paraId="6B1F6E64" w14:textId="77777777" w:rsidR="00092C35" w:rsidRPr="00F96C19" w:rsidRDefault="00092C35" w:rsidP="00F96C19">
      <w:pPr>
        <w:pStyle w:val="Default"/>
        <w:snapToGrid w:val="0"/>
        <w:spacing w:afterLines="50" w:after="120" w:line="276" w:lineRule="auto"/>
        <w:ind w:leftChars="200" w:left="480"/>
        <w:jc w:val="center"/>
        <w:rPr>
          <w:i/>
          <w:iCs/>
        </w:rPr>
      </w:pPr>
      <w:r w:rsidRPr="00013AFE">
        <w:rPr>
          <w:i/>
          <w:iCs/>
        </w:rPr>
        <w:t>Source: GSMA</w:t>
      </w:r>
    </w:p>
    <w:sectPr w:rsidR="00092C35" w:rsidRPr="00F96C19" w:rsidSect="00B25306">
      <w:headerReference w:type="default" r:id="rId25"/>
      <w:footerReference w:type="even" r:id="rId26"/>
      <w:footerReference w:type="default" r:id="rId27"/>
      <w:footerReference w:type="first" r:id="rId28"/>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C3E93" w14:textId="77777777" w:rsidR="005B00E9" w:rsidRDefault="005B00E9" w:rsidP="00630F7B">
      <w:r>
        <w:separator/>
      </w:r>
    </w:p>
  </w:endnote>
  <w:endnote w:type="continuationSeparator" w:id="0">
    <w:p w14:paraId="3A320D18" w14:textId="77777777" w:rsidR="005B00E9" w:rsidRDefault="005B00E9" w:rsidP="00630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default"/>
    <w:sig w:usb0="00000000"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EDB6B" w14:textId="77777777" w:rsidR="001F0B71" w:rsidRDefault="001F0B71" w:rsidP="00630F7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4345C94" w14:textId="77777777" w:rsidR="001F0B71" w:rsidRDefault="001F0B71" w:rsidP="00630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E8D9C" w14:textId="5D1B1F0D" w:rsidR="001F0B71" w:rsidRDefault="001F0B71" w:rsidP="00630F7B">
    <w:pPr>
      <w:pStyle w:val="Footer"/>
    </w:pPr>
    <w:r>
      <w:tab/>
    </w:r>
    <w:r>
      <w:tab/>
      <w:t xml:space="preserve">Page </w:t>
    </w:r>
    <w:r>
      <w:fldChar w:fldCharType="begin"/>
    </w:r>
    <w:r>
      <w:instrText xml:space="preserve"> PAGE  \* Arabic  \* MERGEFORMAT </w:instrText>
    </w:r>
    <w:r>
      <w:fldChar w:fldCharType="separate"/>
    </w:r>
    <w:r w:rsidR="00061A8C">
      <w:rPr>
        <w:noProof/>
      </w:rPr>
      <w:t>2</w:t>
    </w:r>
    <w:r>
      <w:fldChar w:fldCharType="end"/>
    </w:r>
    <w:r>
      <w:t xml:space="preserve"> of </w:t>
    </w:r>
    <w:fldSimple w:instr=" NUMPAGES  \* Arabic  \* MERGEFORMAT ">
      <w:r w:rsidR="00061A8C">
        <w:rPr>
          <w:noProof/>
        </w:rPr>
        <w:t>10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6"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152"/>
      <w:gridCol w:w="5040"/>
      <w:gridCol w:w="3024"/>
    </w:tblGrid>
    <w:tr w:rsidR="001F0B71" w14:paraId="49B10664" w14:textId="77777777" w:rsidTr="007E7497">
      <w:trPr>
        <w:cantSplit/>
        <w:trHeight w:val="204"/>
        <w:jc w:val="center"/>
      </w:trPr>
      <w:tc>
        <w:tcPr>
          <w:tcW w:w="1152" w:type="dxa"/>
        </w:tcPr>
        <w:p w14:paraId="4D7B0019" w14:textId="77777777" w:rsidR="001F0B71" w:rsidRPr="00412FBC" w:rsidRDefault="001F0B71" w:rsidP="00630F7B">
          <w:pPr>
            <w:rPr>
              <w:b/>
              <w:bCs/>
            </w:rPr>
          </w:pPr>
          <w:r w:rsidRPr="00412FBC">
            <w:rPr>
              <w:b/>
              <w:bCs/>
            </w:rPr>
            <w:t>Contact:</w:t>
          </w:r>
        </w:p>
      </w:tc>
      <w:tc>
        <w:tcPr>
          <w:tcW w:w="5040" w:type="dxa"/>
        </w:tcPr>
        <w:p w14:paraId="02BF98C6" w14:textId="77777777" w:rsidR="001F0B71" w:rsidRPr="00B671CF" w:rsidRDefault="001F0B71" w:rsidP="005868E7">
          <w:pPr>
            <w:pStyle w:val="Equation"/>
            <w:tabs>
              <w:tab w:val="clear" w:pos="794"/>
              <w:tab w:val="clear" w:pos="4820"/>
              <w:tab w:val="clear" w:pos="9639"/>
            </w:tabs>
            <w:spacing w:beforeLines="0"/>
            <w:jc w:val="left"/>
            <w:rPr>
              <w:lang w:eastAsia="ko-KR"/>
            </w:rPr>
          </w:pPr>
        </w:p>
      </w:tc>
      <w:tc>
        <w:tcPr>
          <w:tcW w:w="3024" w:type="dxa"/>
        </w:tcPr>
        <w:p w14:paraId="0B54A7AB" w14:textId="77777777" w:rsidR="001F0B71" w:rsidRPr="00B671CF" w:rsidRDefault="001F0B71" w:rsidP="00630F7B">
          <w:pPr>
            <w:rPr>
              <w:b/>
              <w:bCs/>
              <w:lang w:val="vi-VN" w:eastAsia="ja-JP"/>
            </w:rPr>
          </w:pPr>
          <w:r w:rsidRPr="0073241A">
            <w:rPr>
              <w:b/>
              <w:bCs/>
            </w:rPr>
            <w:t>Email</w:t>
          </w:r>
          <w:r w:rsidRPr="0073241A">
            <w:rPr>
              <w:rFonts w:hint="eastAsia"/>
              <w:b/>
              <w:bCs/>
            </w:rPr>
            <w:t>:</w:t>
          </w:r>
        </w:p>
      </w:tc>
    </w:tr>
  </w:tbl>
  <w:p w14:paraId="274F0ECD" w14:textId="77777777" w:rsidR="001F0B71" w:rsidRPr="007E7497" w:rsidRDefault="001F0B71" w:rsidP="00630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91548" w14:textId="77777777" w:rsidR="005B00E9" w:rsidRDefault="005B00E9" w:rsidP="00630F7B">
      <w:r>
        <w:separator/>
      </w:r>
    </w:p>
  </w:footnote>
  <w:footnote w:type="continuationSeparator" w:id="0">
    <w:p w14:paraId="1CB80E39" w14:textId="77777777" w:rsidR="005B00E9" w:rsidRDefault="005B00E9" w:rsidP="00630F7B">
      <w:r>
        <w:continuationSeparator/>
      </w:r>
    </w:p>
  </w:footnote>
  <w:footnote w:id="1">
    <w:p w14:paraId="23FB7380" w14:textId="77777777" w:rsidR="00A1075E" w:rsidRDefault="00A1075E" w:rsidP="00DF1BC5">
      <w:pPr>
        <w:pStyle w:val="FootnoteText"/>
        <w:jc w:val="left"/>
      </w:pPr>
      <w:r>
        <w:rPr>
          <w:rStyle w:val="FootnoteReference"/>
        </w:rPr>
        <w:footnoteRef/>
      </w:r>
      <w:r>
        <w:t xml:space="preserve"> GSMA. </w:t>
      </w:r>
      <w:r w:rsidR="003F6B2F">
        <w:t xml:space="preserve">Spectrum Sharing. June 2021. </w:t>
      </w:r>
      <w:hyperlink r:id="rId1" w:history="1">
        <w:r w:rsidR="003F6B2F" w:rsidRPr="004B3444">
          <w:rPr>
            <w:rStyle w:val="Hyperlink"/>
          </w:rPr>
          <w:t>https://www.gsma.com/connectivity-for-good/spectrum/wp-content/uploads/2021/06/Spectrum-Sharing-Positions.pdf</w:t>
        </w:r>
      </w:hyperlink>
      <w:r w:rsidR="003F6B2F">
        <w:t xml:space="preserve"> </w:t>
      </w:r>
    </w:p>
  </w:footnote>
  <w:footnote w:id="2">
    <w:p w14:paraId="008AC035" w14:textId="77777777" w:rsidR="00A1075E" w:rsidRDefault="00A1075E" w:rsidP="00DF1BC5">
      <w:pPr>
        <w:pStyle w:val="FootnoteText"/>
        <w:jc w:val="left"/>
      </w:pPr>
      <w:r>
        <w:rPr>
          <w:rStyle w:val="FootnoteReference"/>
        </w:rPr>
        <w:footnoteRef/>
      </w:r>
      <w:r>
        <w:t xml:space="preserve"> </w:t>
      </w:r>
      <w:r w:rsidR="003F6B2F">
        <w:t xml:space="preserve">GSMA. </w:t>
      </w:r>
      <w:r w:rsidR="003F6B2F" w:rsidRPr="003F6B2F">
        <w:t>Spectrum leasing in the 5G era</w:t>
      </w:r>
      <w:r w:rsidR="003F6B2F">
        <w:t xml:space="preserve">. January 2022. </w:t>
      </w:r>
      <w:hyperlink r:id="rId2" w:history="1">
        <w:r w:rsidR="003F6B2F" w:rsidRPr="004B3444">
          <w:rPr>
            <w:rStyle w:val="Hyperlink"/>
          </w:rPr>
          <w:t>https://www.gsma.com/connectivity-for-good/spectrum/wp-content/uploads/2022/01/Spectrum-Leasing-5G-Era.pdf</w:t>
        </w:r>
      </w:hyperlink>
      <w:r w:rsidR="003F6B2F">
        <w:t xml:space="preserve"> </w:t>
      </w:r>
    </w:p>
  </w:footnote>
  <w:footnote w:id="3">
    <w:p w14:paraId="65FC6866" w14:textId="77777777" w:rsidR="0017498C" w:rsidRDefault="0017498C" w:rsidP="00EE39B5">
      <w:pPr>
        <w:pStyle w:val="FootnoteText"/>
      </w:pPr>
      <w:r>
        <w:rPr>
          <w:rStyle w:val="FootnoteReference"/>
        </w:rPr>
        <w:footnoteRef/>
      </w:r>
      <w:r>
        <w:t xml:space="preserve"> GS</w:t>
      </w:r>
      <w:r w:rsidR="003F6B2F">
        <w:t>MA</w:t>
      </w:r>
      <w:r w:rsidR="00EE39B5">
        <w:t xml:space="preserve">. Best Practice in Mobile Spectrum Licensing. February 2022. </w:t>
      </w:r>
      <w:hyperlink r:id="rId3" w:history="1">
        <w:r w:rsidR="00EE39B5" w:rsidRPr="004B3444">
          <w:rPr>
            <w:rStyle w:val="Hyperlink"/>
          </w:rPr>
          <w:t>https://www.gsma.com/connectivity-for-good/spectrum/wp-content/uploads/2022/02/Mobile-Spectrum-Licensing-Best-Practice.pdf</w:t>
        </w:r>
      </w:hyperlink>
      <w:r w:rsidR="00EE39B5">
        <w:t xml:space="preserve"> </w:t>
      </w:r>
    </w:p>
  </w:footnote>
  <w:footnote w:id="4">
    <w:p w14:paraId="1F3E0546" w14:textId="656AEB52" w:rsidR="00D15172" w:rsidRPr="00D15172" w:rsidRDefault="00D15172">
      <w:pPr>
        <w:pStyle w:val="FootnoteText"/>
        <w:rPr>
          <w:rFonts w:eastAsia="MS Mincho"/>
          <w:lang w:eastAsia="ja-JP"/>
        </w:rPr>
      </w:pPr>
      <w:r>
        <w:rPr>
          <w:rStyle w:val="FootnoteReference"/>
        </w:rPr>
        <w:footnoteRef/>
      </w:r>
      <w:r>
        <w:t xml:space="preserve"> </w:t>
      </w:r>
      <w:hyperlink r:id="rId4" w:history="1">
        <w:r w:rsidRPr="004148EF">
          <w:rPr>
            <w:rStyle w:val="Hyperlink"/>
          </w:rPr>
          <w:t>https://www.miit.gov.cn/zwgk/zcwj/wjfb/tz/art/2021/art_771cac9bf8ac4f4d97ee87cc5bd2362e.html</w:t>
        </w:r>
      </w:hyperlink>
    </w:p>
  </w:footnote>
  <w:footnote w:id="5">
    <w:p w14:paraId="0084B0AB" w14:textId="352D2F3F" w:rsidR="007F78B8" w:rsidRDefault="007F78B8" w:rsidP="007F78B8">
      <w:pPr>
        <w:pStyle w:val="FootnoteText"/>
      </w:pPr>
      <w:r>
        <w:rPr>
          <w:rStyle w:val="FootnoteReference"/>
        </w:rPr>
        <w:footnoteRef/>
      </w:r>
      <w:r>
        <w:t xml:space="preserve"> </w:t>
      </w:r>
      <w:hyperlink r:id="rId5" w:history="1">
        <w:r w:rsidRPr="00DF0A2C">
          <w:rPr>
            <w:rStyle w:val="Hyperlink"/>
            <w:rFonts w:hint="eastAsia"/>
          </w:rPr>
          <w:t>https://www.gov.cn/lianbo/bumen/202305/content_6876197.htm</w:t>
        </w:r>
        <w:r w:rsidRPr="00DF0A2C">
          <w:rPr>
            <w:rStyle w:val="Hyperlink"/>
            <w:rFonts w:hint="eastAsia"/>
            <w:lang w:eastAsia="zh-CN"/>
          </w:rPr>
          <w:t>l</w:t>
        </w:r>
      </w:hyperlink>
    </w:p>
  </w:footnote>
  <w:footnote w:id="6">
    <w:p w14:paraId="7D7A47B7" w14:textId="4CF3D000" w:rsidR="007F78B8" w:rsidRDefault="007F78B8" w:rsidP="007F78B8">
      <w:pPr>
        <w:pStyle w:val="FootnoteText"/>
      </w:pPr>
      <w:r>
        <w:rPr>
          <w:rStyle w:val="FootnoteReference"/>
        </w:rPr>
        <w:footnoteRef/>
      </w:r>
      <w:r>
        <w:t xml:space="preserve"> </w:t>
      </w:r>
      <w:hyperlink r:id="rId6" w:history="1">
        <w:r w:rsidRPr="00DF0A2C">
          <w:rPr>
            <w:rStyle w:val="Hyperlink"/>
            <w:rFonts w:hint="eastAsia"/>
          </w:rPr>
          <w:t>https://www.miit.gov.cn/jgsj/txs/gzdt/art/2022/art_45a7b18dfb6d41e0bc3254a9686620d3.html</w:t>
        </w:r>
      </w:hyperlink>
    </w:p>
  </w:footnote>
  <w:footnote w:id="7">
    <w:p w14:paraId="571E2F24" w14:textId="7206B477" w:rsidR="007F78B8" w:rsidRDefault="007F78B8" w:rsidP="007F78B8">
      <w:pPr>
        <w:pStyle w:val="FootnoteText"/>
      </w:pPr>
      <w:r>
        <w:rPr>
          <w:rStyle w:val="FootnoteReference"/>
        </w:rPr>
        <w:footnoteRef/>
      </w:r>
      <w:r>
        <w:t xml:space="preserve"> </w:t>
      </w:r>
      <w:hyperlink r:id="rId7" w:history="1">
        <w:r w:rsidRPr="00DF0A2C">
          <w:rPr>
            <w:rStyle w:val="Hyperlink"/>
            <w:rFonts w:hint="eastAsia"/>
          </w:rPr>
          <w:t>https://www.miit.gov.cn/jgsj/txs/wjfb/art/2024/art_30e11debd2ab4eed88a00dfe8bdaa8a2.html</w:t>
        </w:r>
      </w:hyperlink>
    </w:p>
  </w:footnote>
  <w:footnote w:id="8">
    <w:p w14:paraId="295D02CE" w14:textId="65CFD761" w:rsidR="00D15172" w:rsidRPr="00D15172" w:rsidRDefault="00D15172">
      <w:pPr>
        <w:pStyle w:val="FootnoteText"/>
        <w:rPr>
          <w:rFonts w:eastAsia="MS Mincho"/>
          <w:lang w:eastAsia="ja-JP"/>
        </w:rPr>
      </w:pPr>
      <w:r>
        <w:rPr>
          <w:rStyle w:val="FootnoteReference"/>
        </w:rPr>
        <w:footnoteRef/>
      </w:r>
      <w:r>
        <w:t xml:space="preserve"> </w:t>
      </w:r>
      <w:hyperlink r:id="rId8" w:history="1">
        <w:r w:rsidRPr="004148EF">
          <w:rPr>
            <w:rStyle w:val="Hyperlink"/>
          </w:rPr>
          <w:t>https://www.miit.gov.cn/xwdt/gxdt/sjdt/art/2023/art_9d2f16ff8d6242f49706ef73ba8692cb.html</w:t>
        </w:r>
      </w:hyperlink>
    </w:p>
  </w:footnote>
  <w:footnote w:id="9">
    <w:p w14:paraId="0C1FB1C9" w14:textId="18D73922" w:rsidR="00070893" w:rsidRDefault="00070893" w:rsidP="00070893">
      <w:pPr>
        <w:pStyle w:val="FootnoteText"/>
      </w:pPr>
      <w:r>
        <w:rPr>
          <w:rStyle w:val="FootnoteReference"/>
        </w:rPr>
        <w:footnoteRef/>
      </w:r>
      <w:hyperlink r:id="rId9" w:history="1">
        <w:r w:rsidRPr="00DF0A2C">
          <w:rPr>
            <w:rStyle w:val="Hyperlink"/>
            <w:rFonts w:hint="eastAsia"/>
          </w:rPr>
          <w:t>https://www.gsma.com/get-involved/gsma-foundry/gsma_resources/shared-network-smart-co-governance-white-paper/</w:t>
        </w:r>
      </w:hyperlink>
    </w:p>
  </w:footnote>
  <w:footnote w:id="10">
    <w:p w14:paraId="70417166" w14:textId="580F0EE2" w:rsidR="00D15172" w:rsidRPr="00D15172" w:rsidRDefault="00D15172">
      <w:pPr>
        <w:pStyle w:val="FootnoteText"/>
        <w:rPr>
          <w:rFonts w:eastAsia="MS Mincho"/>
          <w:lang w:eastAsia="ja-JP"/>
        </w:rPr>
      </w:pPr>
      <w:r>
        <w:rPr>
          <w:rStyle w:val="FootnoteReference"/>
        </w:rPr>
        <w:footnoteRef/>
      </w:r>
      <w:r>
        <w:t xml:space="preserve"> </w:t>
      </w:r>
      <w:hyperlink r:id="rId10" w:history="1">
        <w:r w:rsidRPr="004148EF">
          <w:rPr>
            <w:rStyle w:val="Hyperlink"/>
          </w:rPr>
          <w:t>https://www.miit.gov.cn/jgsj/txs/wjfb/art/2020/art_72744a8f6ad146b6b6336c0e25c029c6.html</w:t>
        </w:r>
      </w:hyperlink>
    </w:p>
  </w:footnote>
  <w:footnote w:id="11">
    <w:p w14:paraId="19A84AB9" w14:textId="77777777" w:rsidR="00092C35" w:rsidRDefault="00092C35" w:rsidP="00092C35">
      <w:pPr>
        <w:pStyle w:val="FootnoteText"/>
      </w:pPr>
      <w:r>
        <w:rPr>
          <w:rStyle w:val="FootnoteReference"/>
        </w:rPr>
        <w:footnoteRef/>
      </w:r>
      <w:r>
        <w:t xml:space="preserve"> GSMA. Policy Trends in </w:t>
      </w:r>
      <w:r w:rsidRPr="00DF7191">
        <w:t>Policy Trends in the Aftermath of Single Wholesale Networks</w:t>
      </w:r>
      <w:r>
        <w:t xml:space="preserve">. January 2024 </w:t>
      </w:r>
      <w:hyperlink r:id="rId11" w:history="1">
        <w:r w:rsidRPr="004B3444">
          <w:rPr>
            <w:rStyle w:val="Hyperlink"/>
          </w:rPr>
          <w:t>https://www.gsma.com/connectivity-for-good/spectrum/gsma_resources/swn-single-wholesale-networks/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095C" w14:textId="0C1CE0B7" w:rsidR="001F0B71" w:rsidRDefault="00AD572A" w:rsidP="00AD572A">
    <w:pPr>
      <w:pStyle w:val="Header"/>
      <w:jc w:val="center"/>
    </w:pPr>
    <w:bookmarkStart w:id="2" w:name="_Hlk195124696"/>
    <w:r w:rsidRPr="00EF57EA">
      <w:rPr>
        <w:bCs/>
        <w:lang w:eastAsia="ko-KR"/>
      </w:rPr>
      <w:t>APT/AWG/REP-</w:t>
    </w:r>
    <w:bookmarkEnd w:id="2"/>
    <w:r>
      <w:rPr>
        <w:bCs/>
        <w:lang w:eastAsia="ko-KR"/>
      </w:rPr>
      <w:t>150</w:t>
    </w:r>
  </w:p>
  <w:p w14:paraId="3D22160B" w14:textId="77777777" w:rsidR="001F0B71" w:rsidRDefault="001F0B71" w:rsidP="00630F7B">
    <w:pPr>
      <w:pStyle w:val="Header"/>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6BD3D5A"/>
    <w:multiLevelType w:val="singleLevel"/>
    <w:tmpl w:val="C6BD3D5A"/>
    <w:lvl w:ilvl="0">
      <w:start w:val="1"/>
      <w:numFmt w:val="bullet"/>
      <w:lvlText w:val=""/>
      <w:lvlJc w:val="left"/>
      <w:pPr>
        <w:ind w:left="420" w:hanging="420"/>
      </w:pPr>
      <w:rPr>
        <w:rFonts w:ascii="Wingdings" w:hAnsi="Wingdings" w:hint="default"/>
        <w:sz w:val="15"/>
        <w:szCs w:val="15"/>
      </w:rPr>
    </w:lvl>
  </w:abstractNum>
  <w:abstractNum w:abstractNumId="1" w15:restartNumberingAfterBreak="0">
    <w:nsid w:val="00AC6675"/>
    <w:multiLevelType w:val="hybridMultilevel"/>
    <w:tmpl w:val="C9229506"/>
    <w:lvl w:ilvl="0" w:tplc="04090001">
      <w:start w:val="1"/>
      <w:numFmt w:val="bullet"/>
      <w:lvlText w:val=""/>
      <w:lvlJc w:val="left"/>
      <w:pPr>
        <w:ind w:left="720" w:hanging="360"/>
      </w:pPr>
      <w:rPr>
        <w:rFonts w:ascii="Symbol" w:hAnsi="Symbol" w:hint="default"/>
      </w:rPr>
    </w:lvl>
    <w:lvl w:ilvl="1" w:tplc="A5624928">
      <w:numFmt w:val="bullet"/>
      <w:lvlText w:val="-"/>
      <w:lvlJc w:val="left"/>
      <w:pPr>
        <w:ind w:left="1160" w:hanging="400"/>
      </w:pPr>
      <w:rPr>
        <w:rFonts w:ascii="Times New Roman" w:eastAsia="SimSun" w:hAnsi="Times New Roman" w:cs="Times New Roman"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8795D"/>
    <w:multiLevelType w:val="hybridMultilevel"/>
    <w:tmpl w:val="43D22F9C"/>
    <w:lvl w:ilvl="0" w:tplc="412A4C5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50D7A2D"/>
    <w:multiLevelType w:val="hybridMultilevel"/>
    <w:tmpl w:val="B0205AE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84B570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0B1721A3"/>
    <w:multiLevelType w:val="hybridMultilevel"/>
    <w:tmpl w:val="5B58A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138A5BD9"/>
    <w:multiLevelType w:val="multilevel"/>
    <w:tmpl w:val="CB0E6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59238DE"/>
    <w:multiLevelType w:val="hybridMultilevel"/>
    <w:tmpl w:val="D160E7E2"/>
    <w:lvl w:ilvl="0" w:tplc="0986A12E">
      <w:start w:val="5"/>
      <w:numFmt w:val="bullet"/>
      <w:lvlText w:val="-"/>
      <w:lvlJc w:val="left"/>
      <w:pPr>
        <w:ind w:left="720" w:hanging="360"/>
      </w:pPr>
      <w:rPr>
        <w:rFonts w:ascii="Times New Roman" w:eastAsia="BatangCh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176B1DAB"/>
    <w:multiLevelType w:val="hybridMultilevel"/>
    <w:tmpl w:val="B48A8FEC"/>
    <w:lvl w:ilvl="0" w:tplc="04090003">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177A5954"/>
    <w:multiLevelType w:val="hybridMultilevel"/>
    <w:tmpl w:val="57802478"/>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17F25EC8"/>
    <w:multiLevelType w:val="multilevel"/>
    <w:tmpl w:val="E59661A2"/>
    <w:lvl w:ilvl="0">
      <w:start w:val="1"/>
      <w:numFmt w:val="decimal"/>
      <w:lvlText w:val="5.%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1277" w:hanging="709"/>
      </w:pPr>
      <w:rPr>
        <w:lang w:val="en-US"/>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2343706F"/>
    <w:multiLevelType w:val="hybridMultilevel"/>
    <w:tmpl w:val="FF9A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27761310"/>
    <w:multiLevelType w:val="multilevel"/>
    <w:tmpl w:val="D5DCEF72"/>
    <w:lvl w:ilvl="0">
      <w:start w:val="1"/>
      <w:numFmt w:val="decimal"/>
      <w:pStyle w:val="Heading1"/>
      <w:lvlText w:val="%1."/>
      <w:lvlJc w:val="left"/>
      <w:pPr>
        <w:ind w:left="440" w:hanging="440"/>
      </w:p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85E64C1"/>
    <w:multiLevelType w:val="hybridMultilevel"/>
    <w:tmpl w:val="095EA61E"/>
    <w:lvl w:ilvl="0" w:tplc="A3406EFE">
      <w:start w:val="4"/>
      <w:numFmt w:val="bullet"/>
      <w:lvlText w:val="-"/>
      <w:lvlJc w:val="left"/>
      <w:pPr>
        <w:ind w:left="420" w:hanging="420"/>
      </w:pPr>
      <w:rPr>
        <w:rFonts w:ascii="Times New Roman" w:eastAsia="Batang"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3176E"/>
    <w:multiLevelType w:val="singleLevel"/>
    <w:tmpl w:val="2DD3176E"/>
    <w:lvl w:ilvl="0">
      <w:start w:val="1"/>
      <w:numFmt w:val="decimal"/>
      <w:suff w:val="space"/>
      <w:lvlText w:val="(%1)"/>
      <w:lvlJc w:val="left"/>
    </w:lvl>
  </w:abstractNum>
  <w:abstractNum w:abstractNumId="24" w15:restartNumberingAfterBreak="0">
    <w:nsid w:val="305B4B05"/>
    <w:multiLevelType w:val="multilevel"/>
    <w:tmpl w:val="77102D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6"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91191A"/>
    <w:multiLevelType w:val="hybridMultilevel"/>
    <w:tmpl w:val="6D003548"/>
    <w:lvl w:ilvl="0" w:tplc="38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1" w15:restartNumberingAfterBreak="0">
    <w:nsid w:val="3A1E54C5"/>
    <w:multiLevelType w:val="multilevel"/>
    <w:tmpl w:val="97B6C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C776216"/>
    <w:multiLevelType w:val="multilevel"/>
    <w:tmpl w:val="52D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0B0E02"/>
    <w:multiLevelType w:val="hybridMultilevel"/>
    <w:tmpl w:val="4C108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BBD6925"/>
    <w:multiLevelType w:val="hybridMultilevel"/>
    <w:tmpl w:val="D2DE0EE2"/>
    <w:lvl w:ilvl="0" w:tplc="762E52F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530B0661"/>
    <w:multiLevelType w:val="hybridMultilevel"/>
    <w:tmpl w:val="BC4E9072"/>
    <w:lvl w:ilvl="0" w:tplc="3809000F">
      <w:start w:val="1"/>
      <w:numFmt w:val="decimal"/>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38" w15:restartNumberingAfterBreak="0">
    <w:nsid w:val="53A823BC"/>
    <w:multiLevelType w:val="multilevel"/>
    <w:tmpl w:val="1C52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5821A16"/>
    <w:multiLevelType w:val="hybridMultilevel"/>
    <w:tmpl w:val="07547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352AEE"/>
    <w:multiLevelType w:val="hybridMultilevel"/>
    <w:tmpl w:val="9210D5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646123CA"/>
    <w:multiLevelType w:val="multilevel"/>
    <w:tmpl w:val="4E7C6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1B1276"/>
    <w:multiLevelType w:val="hybridMultilevel"/>
    <w:tmpl w:val="55B224F2"/>
    <w:lvl w:ilvl="0" w:tplc="2930795C">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3C64A8"/>
    <w:multiLevelType w:val="multilevel"/>
    <w:tmpl w:val="955A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15:restartNumberingAfterBreak="0">
    <w:nsid w:val="72A32E6D"/>
    <w:multiLevelType w:val="multilevel"/>
    <w:tmpl w:val="1856F03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7A8393D"/>
    <w:multiLevelType w:val="hybridMultilevel"/>
    <w:tmpl w:val="C95EC66E"/>
    <w:lvl w:ilvl="0" w:tplc="7C38D0EE">
      <w:start w:val="1"/>
      <w:numFmt w:val="bullet"/>
      <w:lvlText w:val="-"/>
      <w:lvlJc w:val="left"/>
      <w:pPr>
        <w:ind w:left="720" w:hanging="360"/>
      </w:pPr>
      <w:rPr>
        <w:rFonts w:ascii="Times New Roman" w:eastAsia="BatangChe"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784E2349"/>
    <w:multiLevelType w:val="hybridMultilevel"/>
    <w:tmpl w:val="B88E9CA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50" w15:restartNumberingAfterBreak="0">
    <w:nsid w:val="7FA70E71"/>
    <w:multiLevelType w:val="multilevel"/>
    <w:tmpl w:val="4B7A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2720246">
    <w:abstractNumId w:val="29"/>
  </w:num>
  <w:num w:numId="2" w16cid:durableId="72162498">
    <w:abstractNumId w:val="19"/>
  </w:num>
  <w:num w:numId="3" w16cid:durableId="987126128">
    <w:abstractNumId w:val="17"/>
  </w:num>
  <w:num w:numId="4" w16cid:durableId="141847382">
    <w:abstractNumId w:val="44"/>
  </w:num>
  <w:num w:numId="5" w16cid:durableId="510028462">
    <w:abstractNumId w:val="25"/>
  </w:num>
  <w:num w:numId="6" w16cid:durableId="526337815">
    <w:abstractNumId w:val="30"/>
  </w:num>
  <w:num w:numId="7" w16cid:durableId="661471212">
    <w:abstractNumId w:val="16"/>
  </w:num>
  <w:num w:numId="8" w16cid:durableId="106891411">
    <w:abstractNumId w:val="7"/>
  </w:num>
  <w:num w:numId="9" w16cid:durableId="788473443">
    <w:abstractNumId w:val="49"/>
  </w:num>
  <w:num w:numId="10" w16cid:durableId="735516056">
    <w:abstractNumId w:val="2"/>
  </w:num>
  <w:num w:numId="11" w16cid:durableId="817578877">
    <w:abstractNumId w:val="46"/>
  </w:num>
  <w:num w:numId="12" w16cid:durableId="23408763">
    <w:abstractNumId w:val="26"/>
  </w:num>
  <w:num w:numId="13" w16cid:durableId="1738750058">
    <w:abstractNumId w:val="32"/>
  </w:num>
  <w:num w:numId="14" w16cid:durableId="1353459559">
    <w:abstractNumId w:val="22"/>
  </w:num>
  <w:num w:numId="15" w16cid:durableId="499656439">
    <w:abstractNumId w:val="14"/>
  </w:num>
  <w:num w:numId="16" w16cid:durableId="248655698">
    <w:abstractNumId w:val="9"/>
  </w:num>
  <w:num w:numId="17" w16cid:durableId="352655272">
    <w:abstractNumId w:val="15"/>
  </w:num>
  <w:num w:numId="18" w16cid:durableId="198124479">
    <w:abstractNumId w:val="27"/>
  </w:num>
  <w:num w:numId="19" w16cid:durableId="1620406355">
    <w:abstractNumId w:val="34"/>
  </w:num>
  <w:num w:numId="20" w16cid:durableId="2008048020">
    <w:abstractNumId w:val="36"/>
  </w:num>
  <w:num w:numId="21" w16cid:durableId="1214464548">
    <w:abstractNumId w:val="11"/>
  </w:num>
  <w:num w:numId="22" w16cid:durableId="238294627">
    <w:abstractNumId w:val="1"/>
  </w:num>
  <w:num w:numId="23" w16cid:durableId="1533229390">
    <w:abstractNumId w:val="20"/>
  </w:num>
  <w:num w:numId="24" w16cid:durableId="933394200">
    <w:abstractNumId w:val="3"/>
  </w:num>
  <w:num w:numId="25" w16cid:durableId="2141456434">
    <w:abstractNumId w:val="21"/>
  </w:num>
  <w:num w:numId="26" w16cid:durableId="659575098">
    <w:abstractNumId w:val="48"/>
  </w:num>
  <w:num w:numId="27" w16cid:durableId="1489786639">
    <w:abstractNumId w:val="24"/>
  </w:num>
  <w:num w:numId="28" w16cid:durableId="478575950">
    <w:abstractNumId w:val="50"/>
  </w:num>
  <w:num w:numId="29" w16cid:durableId="400448505">
    <w:abstractNumId w:val="31"/>
  </w:num>
  <w:num w:numId="30" w16cid:durableId="1180773891">
    <w:abstractNumId w:val="8"/>
  </w:num>
  <w:num w:numId="31" w16cid:durableId="531571534">
    <w:abstractNumId w:val="41"/>
  </w:num>
  <w:num w:numId="32" w16cid:durableId="1047140996">
    <w:abstractNumId w:val="38"/>
  </w:num>
  <w:num w:numId="33" w16cid:durableId="1237788460">
    <w:abstractNumId w:val="43"/>
  </w:num>
  <w:num w:numId="34" w16cid:durableId="1903058011">
    <w:abstractNumId w:val="33"/>
  </w:num>
  <w:num w:numId="35" w16cid:durableId="397558020">
    <w:abstractNumId w:val="40"/>
  </w:num>
  <w:num w:numId="36" w16cid:durableId="1252818662">
    <w:abstractNumId w:val="12"/>
  </w:num>
  <w:num w:numId="37" w16cid:durableId="660818383">
    <w:abstractNumId w:val="47"/>
  </w:num>
  <w:num w:numId="38" w16cid:durableId="1154565552">
    <w:abstractNumId w:val="10"/>
  </w:num>
  <w:num w:numId="39" w16cid:durableId="2123454076">
    <w:abstractNumId w:val="18"/>
  </w:num>
  <w:num w:numId="40" w16cid:durableId="1081029820">
    <w:abstractNumId w:val="13"/>
  </w:num>
  <w:num w:numId="41" w16cid:durableId="1547713586">
    <w:abstractNumId w:val="4"/>
  </w:num>
  <w:num w:numId="42" w16cid:durableId="1646279160">
    <w:abstractNumId w:val="45"/>
  </w:num>
  <w:num w:numId="43" w16cid:durableId="1220630779">
    <w:abstractNumId w:val="5"/>
  </w:num>
  <w:num w:numId="44" w16cid:durableId="1072584642">
    <w:abstractNumId w:val="35"/>
  </w:num>
  <w:num w:numId="45" w16cid:durableId="1181315540">
    <w:abstractNumId w:val="20"/>
  </w:num>
  <w:num w:numId="46" w16cid:durableId="789250660">
    <w:abstractNumId w:val="20"/>
  </w:num>
  <w:num w:numId="47" w16cid:durableId="285162152">
    <w:abstractNumId w:val="39"/>
  </w:num>
  <w:num w:numId="48" w16cid:durableId="76677679">
    <w:abstractNumId w:val="42"/>
  </w:num>
  <w:num w:numId="49" w16cid:durableId="441415121">
    <w:abstractNumId w:val="20"/>
  </w:num>
  <w:num w:numId="50" w16cid:durableId="654723386">
    <w:abstractNumId w:val="20"/>
  </w:num>
  <w:num w:numId="51" w16cid:durableId="1289629207">
    <w:abstractNumId w:val="6"/>
  </w:num>
  <w:num w:numId="52" w16cid:durableId="1720326996">
    <w:abstractNumId w:val="23"/>
  </w:num>
  <w:num w:numId="53" w16cid:durableId="1934240325">
    <w:abstractNumId w:val="0"/>
  </w:num>
  <w:num w:numId="54" w16cid:durableId="690032390">
    <w:abstractNumId w:val="28"/>
  </w:num>
  <w:num w:numId="55" w16cid:durableId="811798077">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ja-JP" w:vendorID="64" w:dllVersion="0" w:nlCheck="1" w:checkStyle="1"/>
  <w:activeWritingStyle w:appName="MSWord" w:lang="en-ID"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037CE"/>
    <w:rsid w:val="00004A98"/>
    <w:rsid w:val="0000615E"/>
    <w:rsid w:val="00007034"/>
    <w:rsid w:val="00013AFE"/>
    <w:rsid w:val="00014675"/>
    <w:rsid w:val="00021EA4"/>
    <w:rsid w:val="00025DF0"/>
    <w:rsid w:val="000273F2"/>
    <w:rsid w:val="000323FB"/>
    <w:rsid w:val="00034097"/>
    <w:rsid w:val="0003595B"/>
    <w:rsid w:val="00035F9F"/>
    <w:rsid w:val="00036385"/>
    <w:rsid w:val="000372A5"/>
    <w:rsid w:val="0004286B"/>
    <w:rsid w:val="00045506"/>
    <w:rsid w:val="00046704"/>
    <w:rsid w:val="0005146E"/>
    <w:rsid w:val="00051E1E"/>
    <w:rsid w:val="000537C7"/>
    <w:rsid w:val="000547A5"/>
    <w:rsid w:val="00054C56"/>
    <w:rsid w:val="00057B91"/>
    <w:rsid w:val="00061517"/>
    <w:rsid w:val="00061A8C"/>
    <w:rsid w:val="00063DF8"/>
    <w:rsid w:val="000640A9"/>
    <w:rsid w:val="00070893"/>
    <w:rsid w:val="000713CF"/>
    <w:rsid w:val="00075C14"/>
    <w:rsid w:val="000760E9"/>
    <w:rsid w:val="00076947"/>
    <w:rsid w:val="0007772A"/>
    <w:rsid w:val="00080C20"/>
    <w:rsid w:val="00083433"/>
    <w:rsid w:val="000855ED"/>
    <w:rsid w:val="00090075"/>
    <w:rsid w:val="00091D80"/>
    <w:rsid w:val="00092C35"/>
    <w:rsid w:val="00094B87"/>
    <w:rsid w:val="000A09C8"/>
    <w:rsid w:val="000A1F8C"/>
    <w:rsid w:val="000A264A"/>
    <w:rsid w:val="000A2983"/>
    <w:rsid w:val="000A3892"/>
    <w:rsid w:val="000A3F60"/>
    <w:rsid w:val="000A5418"/>
    <w:rsid w:val="000A754D"/>
    <w:rsid w:val="000B166E"/>
    <w:rsid w:val="000B16C1"/>
    <w:rsid w:val="000B1E8C"/>
    <w:rsid w:val="000B3F5E"/>
    <w:rsid w:val="000B5281"/>
    <w:rsid w:val="000B595C"/>
    <w:rsid w:val="000C08B8"/>
    <w:rsid w:val="000C20BF"/>
    <w:rsid w:val="000C3F9F"/>
    <w:rsid w:val="000C4281"/>
    <w:rsid w:val="000C4B5F"/>
    <w:rsid w:val="000C4E81"/>
    <w:rsid w:val="000C69DA"/>
    <w:rsid w:val="000C7068"/>
    <w:rsid w:val="000D6403"/>
    <w:rsid w:val="000D78C7"/>
    <w:rsid w:val="000D7C75"/>
    <w:rsid w:val="000E11D2"/>
    <w:rsid w:val="000E3C40"/>
    <w:rsid w:val="000E4039"/>
    <w:rsid w:val="000E4F9B"/>
    <w:rsid w:val="000E5115"/>
    <w:rsid w:val="000F14CD"/>
    <w:rsid w:val="000F27A9"/>
    <w:rsid w:val="000F41A3"/>
    <w:rsid w:val="000F4495"/>
    <w:rsid w:val="000F517C"/>
    <w:rsid w:val="000F5540"/>
    <w:rsid w:val="000F7EB0"/>
    <w:rsid w:val="00100651"/>
    <w:rsid w:val="001015BE"/>
    <w:rsid w:val="0010223B"/>
    <w:rsid w:val="00102D66"/>
    <w:rsid w:val="00104AFE"/>
    <w:rsid w:val="00106049"/>
    <w:rsid w:val="00106B56"/>
    <w:rsid w:val="00106CEB"/>
    <w:rsid w:val="0011151F"/>
    <w:rsid w:val="0011308D"/>
    <w:rsid w:val="00122653"/>
    <w:rsid w:val="001250EB"/>
    <w:rsid w:val="00125217"/>
    <w:rsid w:val="00126C7E"/>
    <w:rsid w:val="00130A94"/>
    <w:rsid w:val="00130F3E"/>
    <w:rsid w:val="0013118B"/>
    <w:rsid w:val="00131FCA"/>
    <w:rsid w:val="00133947"/>
    <w:rsid w:val="0013446F"/>
    <w:rsid w:val="00134CC7"/>
    <w:rsid w:val="00135C32"/>
    <w:rsid w:val="00135EB3"/>
    <w:rsid w:val="001369D5"/>
    <w:rsid w:val="001402F0"/>
    <w:rsid w:val="001433F1"/>
    <w:rsid w:val="001455F6"/>
    <w:rsid w:val="001524A8"/>
    <w:rsid w:val="0015364E"/>
    <w:rsid w:val="001539DD"/>
    <w:rsid w:val="00153C4A"/>
    <w:rsid w:val="00156884"/>
    <w:rsid w:val="00161397"/>
    <w:rsid w:val="00161FA0"/>
    <w:rsid w:val="001633C5"/>
    <w:rsid w:val="00164353"/>
    <w:rsid w:val="00167ABC"/>
    <w:rsid w:val="00170769"/>
    <w:rsid w:val="00172942"/>
    <w:rsid w:val="00172DB6"/>
    <w:rsid w:val="00174487"/>
    <w:rsid w:val="0017498C"/>
    <w:rsid w:val="0017507D"/>
    <w:rsid w:val="00175BD2"/>
    <w:rsid w:val="001770A5"/>
    <w:rsid w:val="00177742"/>
    <w:rsid w:val="00177D22"/>
    <w:rsid w:val="00180961"/>
    <w:rsid w:val="0018114D"/>
    <w:rsid w:val="00181B91"/>
    <w:rsid w:val="00181C23"/>
    <w:rsid w:val="001828E0"/>
    <w:rsid w:val="001832C2"/>
    <w:rsid w:val="001854CF"/>
    <w:rsid w:val="0018563A"/>
    <w:rsid w:val="001923E8"/>
    <w:rsid w:val="001943ED"/>
    <w:rsid w:val="00196568"/>
    <w:rsid w:val="001975A6"/>
    <w:rsid w:val="00197B92"/>
    <w:rsid w:val="001A15B2"/>
    <w:rsid w:val="001A1854"/>
    <w:rsid w:val="001A1A76"/>
    <w:rsid w:val="001A2F16"/>
    <w:rsid w:val="001A34FF"/>
    <w:rsid w:val="001A559C"/>
    <w:rsid w:val="001A6157"/>
    <w:rsid w:val="001B18C2"/>
    <w:rsid w:val="001B1AF6"/>
    <w:rsid w:val="001B1DC7"/>
    <w:rsid w:val="001B2D8E"/>
    <w:rsid w:val="001B47A7"/>
    <w:rsid w:val="001B4953"/>
    <w:rsid w:val="001C4F88"/>
    <w:rsid w:val="001C5BFD"/>
    <w:rsid w:val="001C60F2"/>
    <w:rsid w:val="001C7649"/>
    <w:rsid w:val="001D30B0"/>
    <w:rsid w:val="001D3B09"/>
    <w:rsid w:val="001D5D7E"/>
    <w:rsid w:val="001E0A3E"/>
    <w:rsid w:val="001E22E1"/>
    <w:rsid w:val="001E4225"/>
    <w:rsid w:val="001E6B4E"/>
    <w:rsid w:val="001F0B71"/>
    <w:rsid w:val="001F5947"/>
    <w:rsid w:val="00203513"/>
    <w:rsid w:val="00204CF1"/>
    <w:rsid w:val="0021588B"/>
    <w:rsid w:val="00216779"/>
    <w:rsid w:val="00220808"/>
    <w:rsid w:val="00220A40"/>
    <w:rsid w:val="00221123"/>
    <w:rsid w:val="002216AC"/>
    <w:rsid w:val="002219FD"/>
    <w:rsid w:val="0022667F"/>
    <w:rsid w:val="0023010A"/>
    <w:rsid w:val="00230738"/>
    <w:rsid w:val="00232EF2"/>
    <w:rsid w:val="00233700"/>
    <w:rsid w:val="002346FD"/>
    <w:rsid w:val="00234735"/>
    <w:rsid w:val="00234794"/>
    <w:rsid w:val="002364AD"/>
    <w:rsid w:val="00236606"/>
    <w:rsid w:val="00237335"/>
    <w:rsid w:val="00241BCF"/>
    <w:rsid w:val="00243726"/>
    <w:rsid w:val="00243868"/>
    <w:rsid w:val="002500F2"/>
    <w:rsid w:val="00254A1B"/>
    <w:rsid w:val="002558E1"/>
    <w:rsid w:val="0025607F"/>
    <w:rsid w:val="00256321"/>
    <w:rsid w:val="0026030B"/>
    <w:rsid w:val="00261F1F"/>
    <w:rsid w:val="0026265B"/>
    <w:rsid w:val="00263388"/>
    <w:rsid w:val="002670AB"/>
    <w:rsid w:val="0026736F"/>
    <w:rsid w:val="00270149"/>
    <w:rsid w:val="002738C2"/>
    <w:rsid w:val="00275982"/>
    <w:rsid w:val="00275ED2"/>
    <w:rsid w:val="00277CEC"/>
    <w:rsid w:val="002811F1"/>
    <w:rsid w:val="0028454D"/>
    <w:rsid w:val="0028497C"/>
    <w:rsid w:val="00286912"/>
    <w:rsid w:val="00287A2A"/>
    <w:rsid w:val="00291C9E"/>
    <w:rsid w:val="002926D4"/>
    <w:rsid w:val="00297369"/>
    <w:rsid w:val="002A4081"/>
    <w:rsid w:val="002A5F0F"/>
    <w:rsid w:val="002B0BB0"/>
    <w:rsid w:val="002B20D3"/>
    <w:rsid w:val="002B3AD4"/>
    <w:rsid w:val="002B4E46"/>
    <w:rsid w:val="002C07DA"/>
    <w:rsid w:val="002C10D8"/>
    <w:rsid w:val="002C7EA9"/>
    <w:rsid w:val="002D0216"/>
    <w:rsid w:val="002D2035"/>
    <w:rsid w:val="002D4B54"/>
    <w:rsid w:val="002D5DB5"/>
    <w:rsid w:val="002D5F34"/>
    <w:rsid w:val="002E0710"/>
    <w:rsid w:val="002E33FE"/>
    <w:rsid w:val="002F2F9A"/>
    <w:rsid w:val="002F662C"/>
    <w:rsid w:val="003022A9"/>
    <w:rsid w:val="0030307E"/>
    <w:rsid w:val="0031060A"/>
    <w:rsid w:val="0031091B"/>
    <w:rsid w:val="00310A97"/>
    <w:rsid w:val="00312B4D"/>
    <w:rsid w:val="003131A3"/>
    <w:rsid w:val="003136A4"/>
    <w:rsid w:val="003139F9"/>
    <w:rsid w:val="0031747F"/>
    <w:rsid w:val="0031787E"/>
    <w:rsid w:val="0032291E"/>
    <w:rsid w:val="00323E75"/>
    <w:rsid w:val="003243FD"/>
    <w:rsid w:val="00324E35"/>
    <w:rsid w:val="00325CFB"/>
    <w:rsid w:val="00326E47"/>
    <w:rsid w:val="003301CB"/>
    <w:rsid w:val="00330EE8"/>
    <w:rsid w:val="00335853"/>
    <w:rsid w:val="00336A0D"/>
    <w:rsid w:val="00342487"/>
    <w:rsid w:val="00342F20"/>
    <w:rsid w:val="00343067"/>
    <w:rsid w:val="00344313"/>
    <w:rsid w:val="00345D81"/>
    <w:rsid w:val="003475FB"/>
    <w:rsid w:val="00347786"/>
    <w:rsid w:val="00350EC2"/>
    <w:rsid w:val="003540E0"/>
    <w:rsid w:val="003548C2"/>
    <w:rsid w:val="00357CB0"/>
    <w:rsid w:val="00361325"/>
    <w:rsid w:val="0036232E"/>
    <w:rsid w:val="00364D3A"/>
    <w:rsid w:val="0036653D"/>
    <w:rsid w:val="0036666A"/>
    <w:rsid w:val="0037421D"/>
    <w:rsid w:val="00375336"/>
    <w:rsid w:val="00376DEB"/>
    <w:rsid w:val="00380503"/>
    <w:rsid w:val="003809C7"/>
    <w:rsid w:val="003829E0"/>
    <w:rsid w:val="003845E8"/>
    <w:rsid w:val="00386241"/>
    <w:rsid w:val="00390249"/>
    <w:rsid w:val="00390637"/>
    <w:rsid w:val="00391FA4"/>
    <w:rsid w:val="00393274"/>
    <w:rsid w:val="00395991"/>
    <w:rsid w:val="003A4153"/>
    <w:rsid w:val="003A7032"/>
    <w:rsid w:val="003B03B2"/>
    <w:rsid w:val="003B04DF"/>
    <w:rsid w:val="003B0AA9"/>
    <w:rsid w:val="003B0F38"/>
    <w:rsid w:val="003B5757"/>
    <w:rsid w:val="003B6263"/>
    <w:rsid w:val="003B6428"/>
    <w:rsid w:val="003C066C"/>
    <w:rsid w:val="003C1DC8"/>
    <w:rsid w:val="003C1DD9"/>
    <w:rsid w:val="003C242D"/>
    <w:rsid w:val="003C4652"/>
    <w:rsid w:val="003C5160"/>
    <w:rsid w:val="003C64A7"/>
    <w:rsid w:val="003C71A8"/>
    <w:rsid w:val="003C77B9"/>
    <w:rsid w:val="003C7C96"/>
    <w:rsid w:val="003D04E4"/>
    <w:rsid w:val="003D0E1A"/>
    <w:rsid w:val="003D0E68"/>
    <w:rsid w:val="003D25E1"/>
    <w:rsid w:val="003D34F4"/>
    <w:rsid w:val="003D3FDA"/>
    <w:rsid w:val="003D58AA"/>
    <w:rsid w:val="003D604E"/>
    <w:rsid w:val="003D6541"/>
    <w:rsid w:val="003D67AC"/>
    <w:rsid w:val="003D70F5"/>
    <w:rsid w:val="003D7D27"/>
    <w:rsid w:val="003E2335"/>
    <w:rsid w:val="003E3BEF"/>
    <w:rsid w:val="003E51F4"/>
    <w:rsid w:val="003E6028"/>
    <w:rsid w:val="003F00F4"/>
    <w:rsid w:val="003F07E5"/>
    <w:rsid w:val="003F0805"/>
    <w:rsid w:val="003F2FF8"/>
    <w:rsid w:val="003F30E4"/>
    <w:rsid w:val="003F510B"/>
    <w:rsid w:val="003F6B2F"/>
    <w:rsid w:val="003F6D48"/>
    <w:rsid w:val="003F748E"/>
    <w:rsid w:val="00402BFC"/>
    <w:rsid w:val="00403CE4"/>
    <w:rsid w:val="0040558E"/>
    <w:rsid w:val="00405754"/>
    <w:rsid w:val="004064A8"/>
    <w:rsid w:val="00412087"/>
    <w:rsid w:val="00412FBC"/>
    <w:rsid w:val="004141E8"/>
    <w:rsid w:val="004148EF"/>
    <w:rsid w:val="004154C0"/>
    <w:rsid w:val="00420822"/>
    <w:rsid w:val="0042126E"/>
    <w:rsid w:val="004233BD"/>
    <w:rsid w:val="00425D30"/>
    <w:rsid w:val="004265E2"/>
    <w:rsid w:val="004269D5"/>
    <w:rsid w:val="004277FB"/>
    <w:rsid w:val="004323BB"/>
    <w:rsid w:val="00433178"/>
    <w:rsid w:val="00433925"/>
    <w:rsid w:val="00436FC8"/>
    <w:rsid w:val="00437FA1"/>
    <w:rsid w:val="0044024A"/>
    <w:rsid w:val="004404C0"/>
    <w:rsid w:val="00440BEE"/>
    <w:rsid w:val="004411A4"/>
    <w:rsid w:val="00444170"/>
    <w:rsid w:val="00444C5A"/>
    <w:rsid w:val="004537DE"/>
    <w:rsid w:val="00453D08"/>
    <w:rsid w:val="0045458F"/>
    <w:rsid w:val="00455FD4"/>
    <w:rsid w:val="004633B4"/>
    <w:rsid w:val="0046534E"/>
    <w:rsid w:val="0047105C"/>
    <w:rsid w:val="00474509"/>
    <w:rsid w:val="004752D3"/>
    <w:rsid w:val="00475F2C"/>
    <w:rsid w:val="00483317"/>
    <w:rsid w:val="0048361A"/>
    <w:rsid w:val="00484108"/>
    <w:rsid w:val="00484F9A"/>
    <w:rsid w:val="004854EE"/>
    <w:rsid w:val="00486C8D"/>
    <w:rsid w:val="0049229A"/>
    <w:rsid w:val="004925D3"/>
    <w:rsid w:val="0049289F"/>
    <w:rsid w:val="0049338B"/>
    <w:rsid w:val="00493DEF"/>
    <w:rsid w:val="004956F9"/>
    <w:rsid w:val="004A2E80"/>
    <w:rsid w:val="004A4DE4"/>
    <w:rsid w:val="004A683F"/>
    <w:rsid w:val="004B0052"/>
    <w:rsid w:val="004B08B5"/>
    <w:rsid w:val="004B0E5E"/>
    <w:rsid w:val="004B3270"/>
    <w:rsid w:val="004B3553"/>
    <w:rsid w:val="004B36E3"/>
    <w:rsid w:val="004B77F1"/>
    <w:rsid w:val="004C04EB"/>
    <w:rsid w:val="004C06C6"/>
    <w:rsid w:val="004C18C1"/>
    <w:rsid w:val="004C3656"/>
    <w:rsid w:val="004C52EE"/>
    <w:rsid w:val="004C745D"/>
    <w:rsid w:val="004C7759"/>
    <w:rsid w:val="004C7B67"/>
    <w:rsid w:val="004E00E2"/>
    <w:rsid w:val="004E5CCB"/>
    <w:rsid w:val="004F06E8"/>
    <w:rsid w:val="004F1BE2"/>
    <w:rsid w:val="004F5864"/>
    <w:rsid w:val="004F6CC7"/>
    <w:rsid w:val="004F733C"/>
    <w:rsid w:val="00502CD7"/>
    <w:rsid w:val="00502D8C"/>
    <w:rsid w:val="00503F26"/>
    <w:rsid w:val="00506098"/>
    <w:rsid w:val="005076C4"/>
    <w:rsid w:val="00507E6E"/>
    <w:rsid w:val="0051398B"/>
    <w:rsid w:val="00513AE8"/>
    <w:rsid w:val="00515050"/>
    <w:rsid w:val="0051686D"/>
    <w:rsid w:val="00516882"/>
    <w:rsid w:val="005201CA"/>
    <w:rsid w:val="005204D2"/>
    <w:rsid w:val="00521BF0"/>
    <w:rsid w:val="00522288"/>
    <w:rsid w:val="00523F48"/>
    <w:rsid w:val="00525AE1"/>
    <w:rsid w:val="00525CFF"/>
    <w:rsid w:val="005263FB"/>
    <w:rsid w:val="00530E8C"/>
    <w:rsid w:val="00532900"/>
    <w:rsid w:val="00532AD7"/>
    <w:rsid w:val="0053368D"/>
    <w:rsid w:val="005442A4"/>
    <w:rsid w:val="00544D87"/>
    <w:rsid w:val="00545933"/>
    <w:rsid w:val="0054610B"/>
    <w:rsid w:val="00546AE1"/>
    <w:rsid w:val="005473FC"/>
    <w:rsid w:val="00550499"/>
    <w:rsid w:val="00552B32"/>
    <w:rsid w:val="0055339A"/>
    <w:rsid w:val="005542F5"/>
    <w:rsid w:val="00554675"/>
    <w:rsid w:val="005549C9"/>
    <w:rsid w:val="005561A3"/>
    <w:rsid w:val="00556EB6"/>
    <w:rsid w:val="00557221"/>
    <w:rsid w:val="00557544"/>
    <w:rsid w:val="005606F6"/>
    <w:rsid w:val="00560D86"/>
    <w:rsid w:val="005614DC"/>
    <w:rsid w:val="00561CB7"/>
    <w:rsid w:val="00565109"/>
    <w:rsid w:val="00565C4F"/>
    <w:rsid w:val="00566A96"/>
    <w:rsid w:val="00567DA0"/>
    <w:rsid w:val="0057273B"/>
    <w:rsid w:val="005737AE"/>
    <w:rsid w:val="00573D5F"/>
    <w:rsid w:val="00574438"/>
    <w:rsid w:val="00575498"/>
    <w:rsid w:val="00575CDC"/>
    <w:rsid w:val="00577A82"/>
    <w:rsid w:val="00577C0A"/>
    <w:rsid w:val="005832F5"/>
    <w:rsid w:val="005868E7"/>
    <w:rsid w:val="00587875"/>
    <w:rsid w:val="0059087B"/>
    <w:rsid w:val="00593B8C"/>
    <w:rsid w:val="005953F7"/>
    <w:rsid w:val="00595DCE"/>
    <w:rsid w:val="00596729"/>
    <w:rsid w:val="005A2178"/>
    <w:rsid w:val="005A2C76"/>
    <w:rsid w:val="005A3D5D"/>
    <w:rsid w:val="005A6344"/>
    <w:rsid w:val="005A7F19"/>
    <w:rsid w:val="005B00E9"/>
    <w:rsid w:val="005B107D"/>
    <w:rsid w:val="005B1E77"/>
    <w:rsid w:val="005B1FBA"/>
    <w:rsid w:val="005B244E"/>
    <w:rsid w:val="005B3162"/>
    <w:rsid w:val="005B45C0"/>
    <w:rsid w:val="005B45ED"/>
    <w:rsid w:val="005B73D8"/>
    <w:rsid w:val="005C12B8"/>
    <w:rsid w:val="005C285C"/>
    <w:rsid w:val="005C4106"/>
    <w:rsid w:val="005C5EB6"/>
    <w:rsid w:val="005C5FA8"/>
    <w:rsid w:val="005C63C7"/>
    <w:rsid w:val="005D0F92"/>
    <w:rsid w:val="005D2ABF"/>
    <w:rsid w:val="005D3914"/>
    <w:rsid w:val="005D6B2F"/>
    <w:rsid w:val="005E1472"/>
    <w:rsid w:val="005E173A"/>
    <w:rsid w:val="005E18C4"/>
    <w:rsid w:val="005E1B3C"/>
    <w:rsid w:val="005E3896"/>
    <w:rsid w:val="005F045D"/>
    <w:rsid w:val="005F6C61"/>
    <w:rsid w:val="00600348"/>
    <w:rsid w:val="00601AA9"/>
    <w:rsid w:val="006022DB"/>
    <w:rsid w:val="00607C04"/>
    <w:rsid w:val="00607E2B"/>
    <w:rsid w:val="00610416"/>
    <w:rsid w:val="006122F0"/>
    <w:rsid w:val="00612D3D"/>
    <w:rsid w:val="006139D6"/>
    <w:rsid w:val="0061429F"/>
    <w:rsid w:val="00616ADD"/>
    <w:rsid w:val="00616E06"/>
    <w:rsid w:val="00620F97"/>
    <w:rsid w:val="00621B7C"/>
    <w:rsid w:val="00623CE1"/>
    <w:rsid w:val="00623E94"/>
    <w:rsid w:val="006268FE"/>
    <w:rsid w:val="0062763C"/>
    <w:rsid w:val="0063062B"/>
    <w:rsid w:val="00630F7B"/>
    <w:rsid w:val="00631113"/>
    <w:rsid w:val="00632B25"/>
    <w:rsid w:val="00632FF4"/>
    <w:rsid w:val="00635BF2"/>
    <w:rsid w:val="006366B3"/>
    <w:rsid w:val="00636BAD"/>
    <w:rsid w:val="00637396"/>
    <w:rsid w:val="00637AF8"/>
    <w:rsid w:val="0064052A"/>
    <w:rsid w:val="00646327"/>
    <w:rsid w:val="0064644D"/>
    <w:rsid w:val="00646DD1"/>
    <w:rsid w:val="006507E4"/>
    <w:rsid w:val="00650CB3"/>
    <w:rsid w:val="0065143D"/>
    <w:rsid w:val="0065185F"/>
    <w:rsid w:val="00654783"/>
    <w:rsid w:val="00660A9A"/>
    <w:rsid w:val="00662B52"/>
    <w:rsid w:val="00662D66"/>
    <w:rsid w:val="0066388B"/>
    <w:rsid w:val="00663954"/>
    <w:rsid w:val="00664481"/>
    <w:rsid w:val="00665067"/>
    <w:rsid w:val="006657F1"/>
    <w:rsid w:val="006665F2"/>
    <w:rsid w:val="00667229"/>
    <w:rsid w:val="00670E89"/>
    <w:rsid w:val="00672051"/>
    <w:rsid w:val="00673A74"/>
    <w:rsid w:val="00675832"/>
    <w:rsid w:val="00675C15"/>
    <w:rsid w:val="00675C31"/>
    <w:rsid w:val="006769C2"/>
    <w:rsid w:val="006804C7"/>
    <w:rsid w:val="00682BE5"/>
    <w:rsid w:val="00683AA3"/>
    <w:rsid w:val="006843DA"/>
    <w:rsid w:val="006850AC"/>
    <w:rsid w:val="00685A4B"/>
    <w:rsid w:val="006904F1"/>
    <w:rsid w:val="00690FED"/>
    <w:rsid w:val="006935F0"/>
    <w:rsid w:val="006939A5"/>
    <w:rsid w:val="00693D65"/>
    <w:rsid w:val="006A15A4"/>
    <w:rsid w:val="006A2274"/>
    <w:rsid w:val="006A285C"/>
    <w:rsid w:val="006A6704"/>
    <w:rsid w:val="006A762F"/>
    <w:rsid w:val="006A7D5C"/>
    <w:rsid w:val="006B0847"/>
    <w:rsid w:val="006B158A"/>
    <w:rsid w:val="006B34EA"/>
    <w:rsid w:val="006B3530"/>
    <w:rsid w:val="006B4A5D"/>
    <w:rsid w:val="006B4C87"/>
    <w:rsid w:val="006B4FED"/>
    <w:rsid w:val="006B63A3"/>
    <w:rsid w:val="006B6778"/>
    <w:rsid w:val="006B7A04"/>
    <w:rsid w:val="006C02EF"/>
    <w:rsid w:val="006C0389"/>
    <w:rsid w:val="006C0DB2"/>
    <w:rsid w:val="006C2D39"/>
    <w:rsid w:val="006C3DE1"/>
    <w:rsid w:val="006C694D"/>
    <w:rsid w:val="006C7008"/>
    <w:rsid w:val="006C7063"/>
    <w:rsid w:val="006D2799"/>
    <w:rsid w:val="006D33D1"/>
    <w:rsid w:val="006D5E5E"/>
    <w:rsid w:val="006D6DB0"/>
    <w:rsid w:val="006E12FC"/>
    <w:rsid w:val="006E319D"/>
    <w:rsid w:val="006E5055"/>
    <w:rsid w:val="006E54C0"/>
    <w:rsid w:val="006E7B73"/>
    <w:rsid w:val="006F11D6"/>
    <w:rsid w:val="006F1B7A"/>
    <w:rsid w:val="006F375E"/>
    <w:rsid w:val="006F53B5"/>
    <w:rsid w:val="006F6309"/>
    <w:rsid w:val="00701D78"/>
    <w:rsid w:val="0070205F"/>
    <w:rsid w:val="00705E61"/>
    <w:rsid w:val="00705F7D"/>
    <w:rsid w:val="0070727C"/>
    <w:rsid w:val="00711036"/>
    <w:rsid w:val="00712451"/>
    <w:rsid w:val="00713D65"/>
    <w:rsid w:val="00716208"/>
    <w:rsid w:val="00716595"/>
    <w:rsid w:val="00722123"/>
    <w:rsid w:val="0072323F"/>
    <w:rsid w:val="00723F73"/>
    <w:rsid w:val="00724BEB"/>
    <w:rsid w:val="00730BAF"/>
    <w:rsid w:val="00731041"/>
    <w:rsid w:val="00731070"/>
    <w:rsid w:val="0073241A"/>
    <w:rsid w:val="00732F08"/>
    <w:rsid w:val="007350E2"/>
    <w:rsid w:val="0073765B"/>
    <w:rsid w:val="0074190C"/>
    <w:rsid w:val="007425F0"/>
    <w:rsid w:val="00742625"/>
    <w:rsid w:val="00743DAA"/>
    <w:rsid w:val="0074666E"/>
    <w:rsid w:val="007515E8"/>
    <w:rsid w:val="00753E5C"/>
    <w:rsid w:val="00762576"/>
    <w:rsid w:val="007629AB"/>
    <w:rsid w:val="00772903"/>
    <w:rsid w:val="00773F4B"/>
    <w:rsid w:val="00780463"/>
    <w:rsid w:val="00785A67"/>
    <w:rsid w:val="00785DFD"/>
    <w:rsid w:val="00790028"/>
    <w:rsid w:val="00791060"/>
    <w:rsid w:val="007918A9"/>
    <w:rsid w:val="00795345"/>
    <w:rsid w:val="007A0A70"/>
    <w:rsid w:val="007A1BDE"/>
    <w:rsid w:val="007A3E23"/>
    <w:rsid w:val="007A3E29"/>
    <w:rsid w:val="007A68E2"/>
    <w:rsid w:val="007A6FCC"/>
    <w:rsid w:val="007A73F0"/>
    <w:rsid w:val="007B31BE"/>
    <w:rsid w:val="007B3299"/>
    <w:rsid w:val="007B3D18"/>
    <w:rsid w:val="007B5626"/>
    <w:rsid w:val="007B5E37"/>
    <w:rsid w:val="007B6EC7"/>
    <w:rsid w:val="007C1AEF"/>
    <w:rsid w:val="007C47A3"/>
    <w:rsid w:val="007D0A90"/>
    <w:rsid w:val="007D29E5"/>
    <w:rsid w:val="007D378E"/>
    <w:rsid w:val="007D52DB"/>
    <w:rsid w:val="007E13F4"/>
    <w:rsid w:val="007E1FDD"/>
    <w:rsid w:val="007E5DFC"/>
    <w:rsid w:val="007E7497"/>
    <w:rsid w:val="007F08FF"/>
    <w:rsid w:val="007F1651"/>
    <w:rsid w:val="007F2DA0"/>
    <w:rsid w:val="007F33A7"/>
    <w:rsid w:val="007F6A2A"/>
    <w:rsid w:val="007F78B8"/>
    <w:rsid w:val="0080052E"/>
    <w:rsid w:val="00800990"/>
    <w:rsid w:val="00801156"/>
    <w:rsid w:val="0080357F"/>
    <w:rsid w:val="00803C99"/>
    <w:rsid w:val="0080435C"/>
    <w:rsid w:val="0080570B"/>
    <w:rsid w:val="0080767A"/>
    <w:rsid w:val="00810351"/>
    <w:rsid w:val="0081045B"/>
    <w:rsid w:val="00812724"/>
    <w:rsid w:val="008130A7"/>
    <w:rsid w:val="008148E1"/>
    <w:rsid w:val="00816B95"/>
    <w:rsid w:val="00816F4E"/>
    <w:rsid w:val="00823E64"/>
    <w:rsid w:val="00823FB8"/>
    <w:rsid w:val="00830ADB"/>
    <w:rsid w:val="00831716"/>
    <w:rsid w:val="008319BF"/>
    <w:rsid w:val="008337EA"/>
    <w:rsid w:val="00841D03"/>
    <w:rsid w:val="00843992"/>
    <w:rsid w:val="00844B2E"/>
    <w:rsid w:val="00845F2D"/>
    <w:rsid w:val="00845F7C"/>
    <w:rsid w:val="00846864"/>
    <w:rsid w:val="00850E1C"/>
    <w:rsid w:val="00851D94"/>
    <w:rsid w:val="008576A9"/>
    <w:rsid w:val="008621C0"/>
    <w:rsid w:val="00862AC6"/>
    <w:rsid w:val="00870944"/>
    <w:rsid w:val="00870B8E"/>
    <w:rsid w:val="00870F62"/>
    <w:rsid w:val="008712E2"/>
    <w:rsid w:val="00872971"/>
    <w:rsid w:val="008735BA"/>
    <w:rsid w:val="00874B53"/>
    <w:rsid w:val="008765AC"/>
    <w:rsid w:val="00877AD8"/>
    <w:rsid w:val="008821B0"/>
    <w:rsid w:val="00882AAB"/>
    <w:rsid w:val="008832A4"/>
    <w:rsid w:val="0088413F"/>
    <w:rsid w:val="00885402"/>
    <w:rsid w:val="008879A3"/>
    <w:rsid w:val="008950FB"/>
    <w:rsid w:val="0089551D"/>
    <w:rsid w:val="00897849"/>
    <w:rsid w:val="008A109B"/>
    <w:rsid w:val="008A11E7"/>
    <w:rsid w:val="008A21C1"/>
    <w:rsid w:val="008A2915"/>
    <w:rsid w:val="008A423E"/>
    <w:rsid w:val="008A4B4E"/>
    <w:rsid w:val="008A4E2D"/>
    <w:rsid w:val="008A5E04"/>
    <w:rsid w:val="008A73CD"/>
    <w:rsid w:val="008B4C25"/>
    <w:rsid w:val="008B6623"/>
    <w:rsid w:val="008B6EF8"/>
    <w:rsid w:val="008B7865"/>
    <w:rsid w:val="008C1538"/>
    <w:rsid w:val="008C2048"/>
    <w:rsid w:val="008C2593"/>
    <w:rsid w:val="008D084B"/>
    <w:rsid w:val="008D0C8D"/>
    <w:rsid w:val="008D0E09"/>
    <w:rsid w:val="008D40C3"/>
    <w:rsid w:val="008D4604"/>
    <w:rsid w:val="008D661C"/>
    <w:rsid w:val="008D7039"/>
    <w:rsid w:val="008D7C9B"/>
    <w:rsid w:val="008D7E0E"/>
    <w:rsid w:val="008E0D17"/>
    <w:rsid w:val="008E3821"/>
    <w:rsid w:val="008E54CB"/>
    <w:rsid w:val="008E654C"/>
    <w:rsid w:val="008F2153"/>
    <w:rsid w:val="008F301D"/>
    <w:rsid w:val="008F41DC"/>
    <w:rsid w:val="00901DEC"/>
    <w:rsid w:val="00902E9F"/>
    <w:rsid w:val="00903112"/>
    <w:rsid w:val="009035C1"/>
    <w:rsid w:val="00906CC9"/>
    <w:rsid w:val="009136EA"/>
    <w:rsid w:val="0091595A"/>
    <w:rsid w:val="009211B6"/>
    <w:rsid w:val="00924ABE"/>
    <w:rsid w:val="00925283"/>
    <w:rsid w:val="0092770A"/>
    <w:rsid w:val="009304CC"/>
    <w:rsid w:val="009305EC"/>
    <w:rsid w:val="00932C95"/>
    <w:rsid w:val="00934D79"/>
    <w:rsid w:val="009360B3"/>
    <w:rsid w:val="0094183F"/>
    <w:rsid w:val="00942874"/>
    <w:rsid w:val="009435D5"/>
    <w:rsid w:val="0094693B"/>
    <w:rsid w:val="00953737"/>
    <w:rsid w:val="00960A19"/>
    <w:rsid w:val="0096349F"/>
    <w:rsid w:val="0096432B"/>
    <w:rsid w:val="009705ED"/>
    <w:rsid w:val="00972289"/>
    <w:rsid w:val="009744CB"/>
    <w:rsid w:val="009752D8"/>
    <w:rsid w:val="009752F3"/>
    <w:rsid w:val="0097693B"/>
    <w:rsid w:val="00977250"/>
    <w:rsid w:val="00981CFB"/>
    <w:rsid w:val="00981D68"/>
    <w:rsid w:val="0098231A"/>
    <w:rsid w:val="009903E7"/>
    <w:rsid w:val="00990ADC"/>
    <w:rsid w:val="00991612"/>
    <w:rsid w:val="009920A7"/>
    <w:rsid w:val="00992AF4"/>
    <w:rsid w:val="00993355"/>
    <w:rsid w:val="00993D45"/>
    <w:rsid w:val="00995625"/>
    <w:rsid w:val="00996E40"/>
    <w:rsid w:val="009A013C"/>
    <w:rsid w:val="009A1543"/>
    <w:rsid w:val="009A46BF"/>
    <w:rsid w:val="009A4A6D"/>
    <w:rsid w:val="009A5942"/>
    <w:rsid w:val="009A67EE"/>
    <w:rsid w:val="009A68CE"/>
    <w:rsid w:val="009A6C6C"/>
    <w:rsid w:val="009B09C3"/>
    <w:rsid w:val="009B2513"/>
    <w:rsid w:val="009B49B1"/>
    <w:rsid w:val="009B677B"/>
    <w:rsid w:val="009B74AC"/>
    <w:rsid w:val="009B79D6"/>
    <w:rsid w:val="009C0B35"/>
    <w:rsid w:val="009C1C1D"/>
    <w:rsid w:val="009C361C"/>
    <w:rsid w:val="009C3D71"/>
    <w:rsid w:val="009C6843"/>
    <w:rsid w:val="009D1038"/>
    <w:rsid w:val="009D1097"/>
    <w:rsid w:val="009D185E"/>
    <w:rsid w:val="009D3900"/>
    <w:rsid w:val="009D6D41"/>
    <w:rsid w:val="009D7D16"/>
    <w:rsid w:val="009E53F6"/>
    <w:rsid w:val="009E628F"/>
    <w:rsid w:val="009E7C9B"/>
    <w:rsid w:val="009F05D4"/>
    <w:rsid w:val="009F0E95"/>
    <w:rsid w:val="009F2942"/>
    <w:rsid w:val="009F47AD"/>
    <w:rsid w:val="009F7E0A"/>
    <w:rsid w:val="00A0503B"/>
    <w:rsid w:val="00A05845"/>
    <w:rsid w:val="00A05E78"/>
    <w:rsid w:val="00A0682A"/>
    <w:rsid w:val="00A1075E"/>
    <w:rsid w:val="00A10F14"/>
    <w:rsid w:val="00A1266E"/>
    <w:rsid w:val="00A13265"/>
    <w:rsid w:val="00A14310"/>
    <w:rsid w:val="00A17FF6"/>
    <w:rsid w:val="00A20980"/>
    <w:rsid w:val="00A2245E"/>
    <w:rsid w:val="00A26A02"/>
    <w:rsid w:val="00A30F74"/>
    <w:rsid w:val="00A31185"/>
    <w:rsid w:val="00A3152B"/>
    <w:rsid w:val="00A35E78"/>
    <w:rsid w:val="00A44977"/>
    <w:rsid w:val="00A47FC6"/>
    <w:rsid w:val="00A508F1"/>
    <w:rsid w:val="00A51EC7"/>
    <w:rsid w:val="00A60527"/>
    <w:rsid w:val="00A61885"/>
    <w:rsid w:val="00A65EFF"/>
    <w:rsid w:val="00A66F43"/>
    <w:rsid w:val="00A70468"/>
    <w:rsid w:val="00A71136"/>
    <w:rsid w:val="00A76060"/>
    <w:rsid w:val="00A766DA"/>
    <w:rsid w:val="00A777CC"/>
    <w:rsid w:val="00A81D77"/>
    <w:rsid w:val="00A84223"/>
    <w:rsid w:val="00A85814"/>
    <w:rsid w:val="00A87115"/>
    <w:rsid w:val="00A910C2"/>
    <w:rsid w:val="00A96707"/>
    <w:rsid w:val="00AA2D8E"/>
    <w:rsid w:val="00AA3965"/>
    <w:rsid w:val="00AA474C"/>
    <w:rsid w:val="00AA7175"/>
    <w:rsid w:val="00AA7C2E"/>
    <w:rsid w:val="00AB07E2"/>
    <w:rsid w:val="00AB0EAD"/>
    <w:rsid w:val="00AB12CC"/>
    <w:rsid w:val="00AB2572"/>
    <w:rsid w:val="00AB35EB"/>
    <w:rsid w:val="00AB5615"/>
    <w:rsid w:val="00AB60DE"/>
    <w:rsid w:val="00AB6BDE"/>
    <w:rsid w:val="00AC19BB"/>
    <w:rsid w:val="00AC3633"/>
    <w:rsid w:val="00AC567E"/>
    <w:rsid w:val="00AC6648"/>
    <w:rsid w:val="00AC6B72"/>
    <w:rsid w:val="00AD3E2F"/>
    <w:rsid w:val="00AD445A"/>
    <w:rsid w:val="00AD4902"/>
    <w:rsid w:val="00AD572A"/>
    <w:rsid w:val="00AD7E5F"/>
    <w:rsid w:val="00AE0F47"/>
    <w:rsid w:val="00AE480B"/>
    <w:rsid w:val="00AE5E05"/>
    <w:rsid w:val="00AE7C4D"/>
    <w:rsid w:val="00AF1EAE"/>
    <w:rsid w:val="00AF6E67"/>
    <w:rsid w:val="00B00C67"/>
    <w:rsid w:val="00B00D24"/>
    <w:rsid w:val="00B01AA1"/>
    <w:rsid w:val="00B063E5"/>
    <w:rsid w:val="00B064B3"/>
    <w:rsid w:val="00B07985"/>
    <w:rsid w:val="00B119B6"/>
    <w:rsid w:val="00B12812"/>
    <w:rsid w:val="00B1376B"/>
    <w:rsid w:val="00B16C2D"/>
    <w:rsid w:val="00B17245"/>
    <w:rsid w:val="00B174C9"/>
    <w:rsid w:val="00B21A53"/>
    <w:rsid w:val="00B24089"/>
    <w:rsid w:val="00B249E5"/>
    <w:rsid w:val="00B25306"/>
    <w:rsid w:val="00B30C81"/>
    <w:rsid w:val="00B31D87"/>
    <w:rsid w:val="00B34275"/>
    <w:rsid w:val="00B3431A"/>
    <w:rsid w:val="00B3474C"/>
    <w:rsid w:val="00B359EF"/>
    <w:rsid w:val="00B42210"/>
    <w:rsid w:val="00B4367A"/>
    <w:rsid w:val="00B46B06"/>
    <w:rsid w:val="00B4793B"/>
    <w:rsid w:val="00B50D5E"/>
    <w:rsid w:val="00B50F27"/>
    <w:rsid w:val="00B51150"/>
    <w:rsid w:val="00B515BB"/>
    <w:rsid w:val="00B5288D"/>
    <w:rsid w:val="00B53982"/>
    <w:rsid w:val="00B54758"/>
    <w:rsid w:val="00B57150"/>
    <w:rsid w:val="00B6090A"/>
    <w:rsid w:val="00B63D3F"/>
    <w:rsid w:val="00B66740"/>
    <w:rsid w:val="00B66DBC"/>
    <w:rsid w:val="00B6714D"/>
    <w:rsid w:val="00B671CF"/>
    <w:rsid w:val="00B75A27"/>
    <w:rsid w:val="00B81DD2"/>
    <w:rsid w:val="00B842B7"/>
    <w:rsid w:val="00B86F5F"/>
    <w:rsid w:val="00B91404"/>
    <w:rsid w:val="00B92ABB"/>
    <w:rsid w:val="00B934B5"/>
    <w:rsid w:val="00B97AC9"/>
    <w:rsid w:val="00BA1EB6"/>
    <w:rsid w:val="00BA373E"/>
    <w:rsid w:val="00BA5F66"/>
    <w:rsid w:val="00BA727C"/>
    <w:rsid w:val="00BB2FB8"/>
    <w:rsid w:val="00BB50B8"/>
    <w:rsid w:val="00BB73C0"/>
    <w:rsid w:val="00BB7E96"/>
    <w:rsid w:val="00BC2B0F"/>
    <w:rsid w:val="00BC38BC"/>
    <w:rsid w:val="00BC3EE6"/>
    <w:rsid w:val="00BC4418"/>
    <w:rsid w:val="00BC4DAD"/>
    <w:rsid w:val="00BC5CD5"/>
    <w:rsid w:val="00BC7506"/>
    <w:rsid w:val="00BC7742"/>
    <w:rsid w:val="00BD3EA5"/>
    <w:rsid w:val="00BE075C"/>
    <w:rsid w:val="00BE3000"/>
    <w:rsid w:val="00BE5691"/>
    <w:rsid w:val="00BF2E11"/>
    <w:rsid w:val="00BF695D"/>
    <w:rsid w:val="00C00C31"/>
    <w:rsid w:val="00C014B5"/>
    <w:rsid w:val="00C01AB3"/>
    <w:rsid w:val="00C04244"/>
    <w:rsid w:val="00C050D0"/>
    <w:rsid w:val="00C068ED"/>
    <w:rsid w:val="00C06A8E"/>
    <w:rsid w:val="00C10838"/>
    <w:rsid w:val="00C11871"/>
    <w:rsid w:val="00C12E1F"/>
    <w:rsid w:val="00C1437B"/>
    <w:rsid w:val="00C15633"/>
    <w:rsid w:val="00C15799"/>
    <w:rsid w:val="00C20F4D"/>
    <w:rsid w:val="00C21073"/>
    <w:rsid w:val="00C23936"/>
    <w:rsid w:val="00C25431"/>
    <w:rsid w:val="00C256E8"/>
    <w:rsid w:val="00C26745"/>
    <w:rsid w:val="00C27EFC"/>
    <w:rsid w:val="00C323FE"/>
    <w:rsid w:val="00C324D1"/>
    <w:rsid w:val="00C353AD"/>
    <w:rsid w:val="00C357AD"/>
    <w:rsid w:val="00C3644A"/>
    <w:rsid w:val="00C36945"/>
    <w:rsid w:val="00C36C19"/>
    <w:rsid w:val="00C37F58"/>
    <w:rsid w:val="00C4494D"/>
    <w:rsid w:val="00C45420"/>
    <w:rsid w:val="00C45CCD"/>
    <w:rsid w:val="00C45FE7"/>
    <w:rsid w:val="00C50CD3"/>
    <w:rsid w:val="00C51F11"/>
    <w:rsid w:val="00C5667D"/>
    <w:rsid w:val="00C6069C"/>
    <w:rsid w:val="00C631EC"/>
    <w:rsid w:val="00C66662"/>
    <w:rsid w:val="00C66CB1"/>
    <w:rsid w:val="00C66D02"/>
    <w:rsid w:val="00C73735"/>
    <w:rsid w:val="00C73F61"/>
    <w:rsid w:val="00C75448"/>
    <w:rsid w:val="00C75805"/>
    <w:rsid w:val="00C7603B"/>
    <w:rsid w:val="00C77517"/>
    <w:rsid w:val="00C77B66"/>
    <w:rsid w:val="00C80B95"/>
    <w:rsid w:val="00C823B4"/>
    <w:rsid w:val="00C824FC"/>
    <w:rsid w:val="00C85119"/>
    <w:rsid w:val="00C86779"/>
    <w:rsid w:val="00C90D55"/>
    <w:rsid w:val="00C94BA0"/>
    <w:rsid w:val="00C97B8C"/>
    <w:rsid w:val="00CA0189"/>
    <w:rsid w:val="00CA1538"/>
    <w:rsid w:val="00CA6C6C"/>
    <w:rsid w:val="00CB08DD"/>
    <w:rsid w:val="00CB0CCA"/>
    <w:rsid w:val="00CB1DF6"/>
    <w:rsid w:val="00CB252B"/>
    <w:rsid w:val="00CB6EAD"/>
    <w:rsid w:val="00CC278E"/>
    <w:rsid w:val="00CC3632"/>
    <w:rsid w:val="00CC56C6"/>
    <w:rsid w:val="00CD1ACD"/>
    <w:rsid w:val="00CD1BDE"/>
    <w:rsid w:val="00CD41A9"/>
    <w:rsid w:val="00CD5431"/>
    <w:rsid w:val="00CD64BC"/>
    <w:rsid w:val="00CD65D7"/>
    <w:rsid w:val="00CE06F7"/>
    <w:rsid w:val="00CE33C9"/>
    <w:rsid w:val="00CE366D"/>
    <w:rsid w:val="00CE6652"/>
    <w:rsid w:val="00CE6DD9"/>
    <w:rsid w:val="00CF2491"/>
    <w:rsid w:val="00CF2CBA"/>
    <w:rsid w:val="00CF3030"/>
    <w:rsid w:val="00CF3FFB"/>
    <w:rsid w:val="00CF5DDC"/>
    <w:rsid w:val="00D04D9E"/>
    <w:rsid w:val="00D07BEF"/>
    <w:rsid w:val="00D12522"/>
    <w:rsid w:val="00D1252E"/>
    <w:rsid w:val="00D12CE1"/>
    <w:rsid w:val="00D15172"/>
    <w:rsid w:val="00D16DAD"/>
    <w:rsid w:val="00D17C61"/>
    <w:rsid w:val="00D223D6"/>
    <w:rsid w:val="00D22EA3"/>
    <w:rsid w:val="00D23DBA"/>
    <w:rsid w:val="00D2444D"/>
    <w:rsid w:val="00D25E06"/>
    <w:rsid w:val="00D277B7"/>
    <w:rsid w:val="00D303CB"/>
    <w:rsid w:val="00D30A0D"/>
    <w:rsid w:val="00D30CD5"/>
    <w:rsid w:val="00D31452"/>
    <w:rsid w:val="00D32D90"/>
    <w:rsid w:val="00D344F7"/>
    <w:rsid w:val="00D34941"/>
    <w:rsid w:val="00D370B8"/>
    <w:rsid w:val="00D371E6"/>
    <w:rsid w:val="00D379E9"/>
    <w:rsid w:val="00D410F1"/>
    <w:rsid w:val="00D4124B"/>
    <w:rsid w:val="00D41D02"/>
    <w:rsid w:val="00D422BB"/>
    <w:rsid w:val="00D42E3B"/>
    <w:rsid w:val="00D450E6"/>
    <w:rsid w:val="00D500B1"/>
    <w:rsid w:val="00D5307B"/>
    <w:rsid w:val="00D551F4"/>
    <w:rsid w:val="00D5700B"/>
    <w:rsid w:val="00D57772"/>
    <w:rsid w:val="00D57A88"/>
    <w:rsid w:val="00D60B18"/>
    <w:rsid w:val="00D613F9"/>
    <w:rsid w:val="00D63DF2"/>
    <w:rsid w:val="00D63EA3"/>
    <w:rsid w:val="00D651AB"/>
    <w:rsid w:val="00D6667E"/>
    <w:rsid w:val="00D666A2"/>
    <w:rsid w:val="00D710EE"/>
    <w:rsid w:val="00D72AE3"/>
    <w:rsid w:val="00D7399D"/>
    <w:rsid w:val="00D742C3"/>
    <w:rsid w:val="00D75343"/>
    <w:rsid w:val="00D75A4D"/>
    <w:rsid w:val="00D80EF4"/>
    <w:rsid w:val="00D8478B"/>
    <w:rsid w:val="00D84CEE"/>
    <w:rsid w:val="00D85571"/>
    <w:rsid w:val="00D86151"/>
    <w:rsid w:val="00D869CE"/>
    <w:rsid w:val="00D90D32"/>
    <w:rsid w:val="00D91215"/>
    <w:rsid w:val="00DA29D8"/>
    <w:rsid w:val="00DA3CC4"/>
    <w:rsid w:val="00DA4245"/>
    <w:rsid w:val="00DA7595"/>
    <w:rsid w:val="00DB0A68"/>
    <w:rsid w:val="00DB13B0"/>
    <w:rsid w:val="00DB18F2"/>
    <w:rsid w:val="00DB2A76"/>
    <w:rsid w:val="00DB2DD9"/>
    <w:rsid w:val="00DB4A1C"/>
    <w:rsid w:val="00DB5DEE"/>
    <w:rsid w:val="00DB5EFE"/>
    <w:rsid w:val="00DB61D3"/>
    <w:rsid w:val="00DB72E6"/>
    <w:rsid w:val="00DB7F5F"/>
    <w:rsid w:val="00DC15AA"/>
    <w:rsid w:val="00DC3832"/>
    <w:rsid w:val="00DC3BEE"/>
    <w:rsid w:val="00DC3F80"/>
    <w:rsid w:val="00DC43A3"/>
    <w:rsid w:val="00DC4743"/>
    <w:rsid w:val="00DC4CC9"/>
    <w:rsid w:val="00DC5024"/>
    <w:rsid w:val="00DC71F4"/>
    <w:rsid w:val="00DD0B70"/>
    <w:rsid w:val="00DD457E"/>
    <w:rsid w:val="00DD57A5"/>
    <w:rsid w:val="00DD6431"/>
    <w:rsid w:val="00DD7C09"/>
    <w:rsid w:val="00DE1906"/>
    <w:rsid w:val="00DE54CF"/>
    <w:rsid w:val="00DE6044"/>
    <w:rsid w:val="00DF0A2C"/>
    <w:rsid w:val="00DF1BC5"/>
    <w:rsid w:val="00DF1FDC"/>
    <w:rsid w:val="00DF4376"/>
    <w:rsid w:val="00DF6318"/>
    <w:rsid w:val="00DF7191"/>
    <w:rsid w:val="00DF791C"/>
    <w:rsid w:val="00E0124F"/>
    <w:rsid w:val="00E01EFE"/>
    <w:rsid w:val="00E02E0D"/>
    <w:rsid w:val="00E04772"/>
    <w:rsid w:val="00E06286"/>
    <w:rsid w:val="00E072E4"/>
    <w:rsid w:val="00E07E90"/>
    <w:rsid w:val="00E11EA1"/>
    <w:rsid w:val="00E16204"/>
    <w:rsid w:val="00E17376"/>
    <w:rsid w:val="00E179F9"/>
    <w:rsid w:val="00E21221"/>
    <w:rsid w:val="00E22C68"/>
    <w:rsid w:val="00E23D98"/>
    <w:rsid w:val="00E24B83"/>
    <w:rsid w:val="00E2638F"/>
    <w:rsid w:val="00E278AA"/>
    <w:rsid w:val="00E32091"/>
    <w:rsid w:val="00E3254F"/>
    <w:rsid w:val="00E35D2E"/>
    <w:rsid w:val="00E36CDB"/>
    <w:rsid w:val="00E403B9"/>
    <w:rsid w:val="00E40BDB"/>
    <w:rsid w:val="00E410C7"/>
    <w:rsid w:val="00E42D97"/>
    <w:rsid w:val="00E435E7"/>
    <w:rsid w:val="00E43983"/>
    <w:rsid w:val="00E43D7C"/>
    <w:rsid w:val="00E447A3"/>
    <w:rsid w:val="00E44DD5"/>
    <w:rsid w:val="00E470F8"/>
    <w:rsid w:val="00E47BA2"/>
    <w:rsid w:val="00E5341E"/>
    <w:rsid w:val="00E545D9"/>
    <w:rsid w:val="00E57A0F"/>
    <w:rsid w:val="00E65AAD"/>
    <w:rsid w:val="00E65FC2"/>
    <w:rsid w:val="00E674D3"/>
    <w:rsid w:val="00E706A8"/>
    <w:rsid w:val="00E70FD0"/>
    <w:rsid w:val="00E71A25"/>
    <w:rsid w:val="00E745CC"/>
    <w:rsid w:val="00E74D89"/>
    <w:rsid w:val="00E75AC8"/>
    <w:rsid w:val="00E7602C"/>
    <w:rsid w:val="00E76E71"/>
    <w:rsid w:val="00E7766C"/>
    <w:rsid w:val="00E77F8B"/>
    <w:rsid w:val="00E80263"/>
    <w:rsid w:val="00E83D51"/>
    <w:rsid w:val="00E862FA"/>
    <w:rsid w:val="00EA0F28"/>
    <w:rsid w:val="00EA5CEF"/>
    <w:rsid w:val="00EA7027"/>
    <w:rsid w:val="00EB2081"/>
    <w:rsid w:val="00EB33F1"/>
    <w:rsid w:val="00EB5136"/>
    <w:rsid w:val="00EB592F"/>
    <w:rsid w:val="00EB5F66"/>
    <w:rsid w:val="00EC1E46"/>
    <w:rsid w:val="00EC249E"/>
    <w:rsid w:val="00EC5099"/>
    <w:rsid w:val="00ED36CF"/>
    <w:rsid w:val="00ED46D9"/>
    <w:rsid w:val="00ED4B2A"/>
    <w:rsid w:val="00ED623D"/>
    <w:rsid w:val="00ED6CF1"/>
    <w:rsid w:val="00EE3496"/>
    <w:rsid w:val="00EE39B5"/>
    <w:rsid w:val="00EE3C3D"/>
    <w:rsid w:val="00EF182E"/>
    <w:rsid w:val="00EF1B9B"/>
    <w:rsid w:val="00EF2406"/>
    <w:rsid w:val="00EF3873"/>
    <w:rsid w:val="00EF4B73"/>
    <w:rsid w:val="00EF5EA9"/>
    <w:rsid w:val="00EF5EFE"/>
    <w:rsid w:val="00EF7A41"/>
    <w:rsid w:val="00F00257"/>
    <w:rsid w:val="00F01773"/>
    <w:rsid w:val="00F03FFD"/>
    <w:rsid w:val="00F04565"/>
    <w:rsid w:val="00F06D8C"/>
    <w:rsid w:val="00F115A3"/>
    <w:rsid w:val="00F12DF3"/>
    <w:rsid w:val="00F13A20"/>
    <w:rsid w:val="00F13D05"/>
    <w:rsid w:val="00F147DE"/>
    <w:rsid w:val="00F20999"/>
    <w:rsid w:val="00F23AFB"/>
    <w:rsid w:val="00F25E0C"/>
    <w:rsid w:val="00F25E2D"/>
    <w:rsid w:val="00F27A79"/>
    <w:rsid w:val="00F350C6"/>
    <w:rsid w:val="00F35836"/>
    <w:rsid w:val="00F35930"/>
    <w:rsid w:val="00F36327"/>
    <w:rsid w:val="00F366C5"/>
    <w:rsid w:val="00F410D7"/>
    <w:rsid w:val="00F43651"/>
    <w:rsid w:val="00F44371"/>
    <w:rsid w:val="00F445D1"/>
    <w:rsid w:val="00F46217"/>
    <w:rsid w:val="00F5073A"/>
    <w:rsid w:val="00F52DF6"/>
    <w:rsid w:val="00F5332C"/>
    <w:rsid w:val="00F54C1A"/>
    <w:rsid w:val="00F55E0A"/>
    <w:rsid w:val="00F6068C"/>
    <w:rsid w:val="00F626B7"/>
    <w:rsid w:val="00F62E65"/>
    <w:rsid w:val="00F64F83"/>
    <w:rsid w:val="00F650EB"/>
    <w:rsid w:val="00F66925"/>
    <w:rsid w:val="00F66AE2"/>
    <w:rsid w:val="00F77662"/>
    <w:rsid w:val="00F8198D"/>
    <w:rsid w:val="00F82C54"/>
    <w:rsid w:val="00F82E13"/>
    <w:rsid w:val="00F84067"/>
    <w:rsid w:val="00F861B0"/>
    <w:rsid w:val="00F863B4"/>
    <w:rsid w:val="00F8707B"/>
    <w:rsid w:val="00F871F5"/>
    <w:rsid w:val="00F904C0"/>
    <w:rsid w:val="00F96C19"/>
    <w:rsid w:val="00F97225"/>
    <w:rsid w:val="00FB08A6"/>
    <w:rsid w:val="00FC09FD"/>
    <w:rsid w:val="00FC156A"/>
    <w:rsid w:val="00FC43C9"/>
    <w:rsid w:val="00FC5CD4"/>
    <w:rsid w:val="00FC7A38"/>
    <w:rsid w:val="00FD15D7"/>
    <w:rsid w:val="00FD4A09"/>
    <w:rsid w:val="00FD4E57"/>
    <w:rsid w:val="00FD52DA"/>
    <w:rsid w:val="00FD6482"/>
    <w:rsid w:val="00FE0FB6"/>
    <w:rsid w:val="00FE1F7E"/>
    <w:rsid w:val="00FE207A"/>
    <w:rsid w:val="00FE3086"/>
    <w:rsid w:val="00FE3DE5"/>
    <w:rsid w:val="00FE703F"/>
    <w:rsid w:val="00FE70A9"/>
    <w:rsid w:val="00FF0281"/>
    <w:rsid w:val="00FF165D"/>
    <w:rsid w:val="00FF2D33"/>
    <w:rsid w:val="00FF36DF"/>
    <w:rsid w:val="00FF52F2"/>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E75"/>
    <w:pPr>
      <w:snapToGrid w:val="0"/>
      <w:spacing w:afterLines="50" w:after="120"/>
      <w:jc w:val="both"/>
    </w:pPr>
    <w:rPr>
      <w:rFonts w:eastAsia="BatangChe"/>
      <w:sz w:val="24"/>
      <w:szCs w:val="24"/>
    </w:rPr>
  </w:style>
  <w:style w:type="paragraph" w:styleId="Heading1">
    <w:name w:val="heading 1"/>
    <w:basedOn w:val="Normal"/>
    <w:next w:val="Normal"/>
    <w:link w:val="Heading1Char"/>
    <w:qFormat/>
    <w:rsid w:val="00753E5C"/>
    <w:pPr>
      <w:keepNext/>
      <w:numPr>
        <w:numId w:val="23"/>
      </w:numPr>
      <w:spacing w:after="50"/>
      <w:outlineLvl w:val="0"/>
    </w:pPr>
    <w:rPr>
      <w:b/>
      <w:bCs/>
      <w:lang w:eastAsia="ko-KR"/>
    </w:rPr>
  </w:style>
  <w:style w:type="paragraph" w:styleId="Heading2">
    <w:name w:val="heading 2"/>
    <w:basedOn w:val="Heading1"/>
    <w:next w:val="Normal"/>
    <w:link w:val="Heading2Char"/>
    <w:unhideWhenUsed/>
    <w:qFormat/>
    <w:rsid w:val="00753E5C"/>
    <w:pPr>
      <w:numPr>
        <w:ilvl w:val="1"/>
      </w:numPr>
      <w:outlineLvl w:val="1"/>
    </w:pPr>
  </w:style>
  <w:style w:type="paragraph" w:styleId="Heading3">
    <w:name w:val="heading 3"/>
    <w:basedOn w:val="Normal"/>
    <w:next w:val="Normal"/>
    <w:link w:val="Heading3Char"/>
    <w:unhideWhenUsed/>
    <w:qFormat/>
    <w:rsid w:val="004233B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9B251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rsid w:val="00DA7595"/>
    <w:pPr>
      <w:keepNext/>
      <w:widowControl w:val="0"/>
      <w:wordWrap w:val="0"/>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34"/>
    <w:qFormat/>
    <w:rsid w:val="001F5947"/>
    <w:pPr>
      <w:ind w:left="720"/>
    </w:pPr>
  </w:style>
  <w:style w:type="character" w:styleId="Strong">
    <w:name w:val="Strong"/>
    <w:basedOn w:val="DefaultParagraphFont"/>
    <w:uiPriority w:val="22"/>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iPriority w:val="99"/>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qForma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34"/>
    <w:qFormat/>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rsid w:val="00EF2406"/>
    <w:rPr>
      <w:b/>
      <w:bCs/>
    </w:rPr>
  </w:style>
  <w:style w:type="character" w:customStyle="1" w:styleId="ECCParagraph">
    <w:name w:val="ECC Paragraph"/>
    <w:basedOn w:val="DefaultParagraphFont"/>
    <w:uiPriority w:val="1"/>
    <w:rsid w:val="00EF2406"/>
    <w:rPr>
      <w:rFonts w:ascii="Arial" w:hAnsi="Arial" w:cs="Arial" w:hint="default"/>
      <w:noProof w:val="0"/>
      <w:sz w:val="20"/>
      <w:bdr w:val="none" w:sz="0" w:space="0" w:color="auto" w:frame="1"/>
      <w:lang w:val="en-GB"/>
    </w:rPr>
  </w:style>
  <w:style w:type="paragraph" w:customStyle="1" w:styleId="a0">
    <w:name w:val="목록 문단"/>
    <w:basedOn w:val="Normal"/>
    <w:uiPriority w:val="34"/>
    <w:rsid w:val="00B16C2D"/>
    <w:pPr>
      <w:ind w:left="720"/>
    </w:pPr>
    <w:rPr>
      <w:lang w:eastAsia="ko-KR"/>
    </w:rPr>
  </w:style>
  <w:style w:type="paragraph" w:styleId="Revision">
    <w:name w:val="Revision"/>
    <w:hidden/>
    <w:uiPriority w:val="99"/>
    <w:semiHidden/>
    <w:rsid w:val="006D5E5E"/>
    <w:rPr>
      <w:rFonts w:eastAsia="BatangChe"/>
      <w:sz w:val="24"/>
      <w:szCs w:val="24"/>
    </w:rPr>
  </w:style>
  <w:style w:type="character" w:customStyle="1" w:styleId="Heading2Char">
    <w:name w:val="Heading 2 Char"/>
    <w:basedOn w:val="DefaultParagraphFont"/>
    <w:link w:val="Heading2"/>
    <w:rsid w:val="00753E5C"/>
    <w:rPr>
      <w:rFonts w:eastAsia="BatangChe"/>
      <w:b/>
      <w:bCs/>
      <w:sz w:val="24"/>
      <w:szCs w:val="24"/>
      <w:lang w:eastAsia="ko-KR"/>
    </w:rPr>
  </w:style>
  <w:style w:type="character" w:customStyle="1" w:styleId="Heading3Char">
    <w:name w:val="Heading 3 Char"/>
    <w:basedOn w:val="DefaultParagraphFont"/>
    <w:link w:val="Heading3"/>
    <w:rsid w:val="004233B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9B2513"/>
    <w:rPr>
      <w:rFonts w:asciiTheme="majorHAnsi" w:eastAsiaTheme="majorEastAsia" w:hAnsiTheme="majorHAnsi" w:cstheme="majorBidi"/>
      <w:i/>
      <w:iCs/>
      <w:color w:val="365F91" w:themeColor="accent1" w:themeShade="BF"/>
      <w:sz w:val="24"/>
      <w:szCs w:val="24"/>
    </w:rPr>
  </w:style>
  <w:style w:type="paragraph" w:customStyle="1" w:styleId="share-twitter">
    <w:name w:val="share-twitter"/>
    <w:basedOn w:val="Normal"/>
    <w:rsid w:val="009B2513"/>
    <w:pPr>
      <w:spacing w:before="100" w:beforeAutospacing="1" w:after="100" w:afterAutospacing="1"/>
    </w:pPr>
    <w:rPr>
      <w:rFonts w:eastAsia="Times New Roman"/>
      <w:lang w:val="vi-VN" w:eastAsia="vi-VN"/>
    </w:rPr>
  </w:style>
  <w:style w:type="character" w:customStyle="1" w:styleId="sharing-screen-reader-text">
    <w:name w:val="sharing-screen-reader-text"/>
    <w:basedOn w:val="DefaultParagraphFont"/>
    <w:rsid w:val="009B2513"/>
  </w:style>
  <w:style w:type="paragraph" w:customStyle="1" w:styleId="share-facebook">
    <w:name w:val="share-facebook"/>
    <w:basedOn w:val="Normal"/>
    <w:rsid w:val="009B2513"/>
    <w:pPr>
      <w:spacing w:before="100" w:beforeAutospacing="1" w:after="100" w:afterAutospacing="1"/>
    </w:pPr>
    <w:rPr>
      <w:rFonts w:eastAsia="Times New Roman"/>
      <w:lang w:val="vi-VN" w:eastAsia="vi-VN"/>
    </w:rPr>
  </w:style>
  <w:style w:type="paragraph" w:customStyle="1" w:styleId="share-end">
    <w:name w:val="share-end"/>
    <w:basedOn w:val="Normal"/>
    <w:rsid w:val="009B2513"/>
    <w:pPr>
      <w:spacing w:before="100" w:beforeAutospacing="1" w:after="100" w:afterAutospacing="1"/>
    </w:pPr>
    <w:rPr>
      <w:rFonts w:eastAsia="Times New Roman"/>
      <w:lang w:val="vi-VN" w:eastAsia="vi-VN"/>
    </w:rPr>
  </w:style>
  <w:style w:type="character" w:styleId="Emphasis">
    <w:name w:val="Emphasis"/>
    <w:basedOn w:val="DefaultParagraphFont"/>
    <w:uiPriority w:val="20"/>
    <w:rsid w:val="009B2513"/>
    <w:rPr>
      <w:i/>
      <w:iCs/>
    </w:rPr>
  </w:style>
  <w:style w:type="paragraph" w:customStyle="1" w:styleId="jp-relatedposts-post-context">
    <w:name w:val="jp-relatedposts-post-context"/>
    <w:basedOn w:val="Normal"/>
    <w:rsid w:val="009B2513"/>
    <w:pPr>
      <w:spacing w:before="100" w:beforeAutospacing="1" w:after="100" w:afterAutospacing="1"/>
    </w:pPr>
    <w:rPr>
      <w:rFonts w:eastAsia="Times New Roman"/>
      <w:lang w:val="vi-VN" w:eastAsia="vi-VN"/>
    </w:rPr>
  </w:style>
  <w:style w:type="character" w:customStyle="1" w:styleId="a2alabel">
    <w:name w:val="a2a_label"/>
    <w:basedOn w:val="DefaultParagraphFont"/>
    <w:rsid w:val="009B2513"/>
  </w:style>
  <w:style w:type="paragraph" w:styleId="z-TopofForm">
    <w:name w:val="HTML Top of Form"/>
    <w:basedOn w:val="Normal"/>
    <w:next w:val="Normal"/>
    <w:link w:val="z-TopofFormChar"/>
    <w:hidden/>
    <w:uiPriority w:val="99"/>
    <w:semiHidden/>
    <w:unhideWhenUsed/>
    <w:rsid w:val="009B2513"/>
    <w:pPr>
      <w:pBdr>
        <w:bottom w:val="single" w:sz="6" w:space="1" w:color="auto"/>
      </w:pBdr>
      <w:jc w:val="center"/>
    </w:pPr>
    <w:rPr>
      <w:rFonts w:ascii="Arial" w:eastAsia="Times New Roman" w:hAnsi="Arial" w:cs="Arial"/>
      <w:vanish/>
      <w:sz w:val="16"/>
      <w:szCs w:val="16"/>
      <w:lang w:val="vi-VN" w:eastAsia="vi-VN"/>
    </w:rPr>
  </w:style>
  <w:style w:type="character" w:customStyle="1" w:styleId="z-TopofFormChar">
    <w:name w:val="z-Top of Form Char"/>
    <w:basedOn w:val="DefaultParagraphFont"/>
    <w:link w:val="z-TopofForm"/>
    <w:uiPriority w:val="99"/>
    <w:semiHidden/>
    <w:rsid w:val="009B2513"/>
    <w:rPr>
      <w:rFonts w:ascii="Arial" w:eastAsia="Times New Roman" w:hAnsi="Arial" w:cs="Arial"/>
      <w:vanish/>
      <w:sz w:val="16"/>
      <w:szCs w:val="16"/>
      <w:lang w:val="vi-VN" w:eastAsia="vi-VN"/>
    </w:rPr>
  </w:style>
  <w:style w:type="paragraph" w:styleId="z-BottomofForm">
    <w:name w:val="HTML Bottom of Form"/>
    <w:basedOn w:val="Normal"/>
    <w:next w:val="Normal"/>
    <w:link w:val="z-BottomofFormChar"/>
    <w:hidden/>
    <w:uiPriority w:val="99"/>
    <w:semiHidden/>
    <w:unhideWhenUsed/>
    <w:rsid w:val="009B2513"/>
    <w:pPr>
      <w:pBdr>
        <w:top w:val="single" w:sz="6" w:space="1" w:color="auto"/>
      </w:pBdr>
      <w:jc w:val="center"/>
    </w:pPr>
    <w:rPr>
      <w:rFonts w:ascii="Arial" w:eastAsia="Times New Roman" w:hAnsi="Arial" w:cs="Arial"/>
      <w:vanish/>
      <w:sz w:val="16"/>
      <w:szCs w:val="16"/>
      <w:lang w:val="vi-VN" w:eastAsia="vi-VN"/>
    </w:rPr>
  </w:style>
  <w:style w:type="character" w:customStyle="1" w:styleId="z-BottomofFormChar">
    <w:name w:val="z-Bottom of Form Char"/>
    <w:basedOn w:val="DefaultParagraphFont"/>
    <w:link w:val="z-BottomofForm"/>
    <w:uiPriority w:val="99"/>
    <w:semiHidden/>
    <w:rsid w:val="009B2513"/>
    <w:rPr>
      <w:rFonts w:ascii="Arial" w:eastAsia="Times New Roman" w:hAnsi="Arial" w:cs="Arial"/>
      <w:vanish/>
      <w:sz w:val="16"/>
      <w:szCs w:val="16"/>
      <w:lang w:val="vi-VN" w:eastAsia="vi-VN"/>
    </w:rPr>
  </w:style>
  <w:style w:type="paragraph" w:customStyle="1" w:styleId="menu-item">
    <w:name w:val="menu-item"/>
    <w:basedOn w:val="Normal"/>
    <w:rsid w:val="009B2513"/>
    <w:pPr>
      <w:spacing w:before="100" w:beforeAutospacing="1" w:after="100" w:afterAutospacing="1"/>
    </w:pPr>
    <w:rPr>
      <w:rFonts w:eastAsia="Times New Roman"/>
      <w:lang w:val="vi-VN" w:eastAsia="vi-VN"/>
    </w:rPr>
  </w:style>
  <w:style w:type="paragraph" w:customStyle="1" w:styleId="Char4">
    <w:name w:val="Char4"/>
    <w:basedOn w:val="Normal"/>
    <w:semiHidden/>
    <w:rsid w:val="0064644D"/>
    <w:pPr>
      <w:spacing w:after="160" w:line="240" w:lineRule="exact"/>
    </w:pPr>
    <w:rPr>
      <w:rFonts w:ascii="Arial" w:eastAsia="Times New Roman" w:hAnsi="Arial" w:cs="Arial"/>
      <w:sz w:val="22"/>
      <w:szCs w:val="22"/>
    </w:rPr>
  </w:style>
  <w:style w:type="character" w:customStyle="1" w:styleId="rynqvb">
    <w:name w:val="rynqvb"/>
    <w:basedOn w:val="DefaultParagraphFont"/>
    <w:rsid w:val="003C1DD9"/>
  </w:style>
  <w:style w:type="character" w:customStyle="1" w:styleId="hwtze">
    <w:name w:val="hwtze"/>
    <w:basedOn w:val="DefaultParagraphFont"/>
    <w:rsid w:val="00AC6648"/>
  </w:style>
  <w:style w:type="character" w:styleId="UnresolvedMention">
    <w:name w:val="Unresolved Mention"/>
    <w:basedOn w:val="DefaultParagraphFont"/>
    <w:uiPriority w:val="99"/>
    <w:semiHidden/>
    <w:unhideWhenUsed/>
    <w:rsid w:val="00901DEC"/>
    <w:rPr>
      <w:color w:val="605E5C"/>
      <w:shd w:val="clear" w:color="auto" w:fill="E1DFDD"/>
    </w:rPr>
  </w:style>
  <w:style w:type="paragraph" w:customStyle="1" w:styleId="TG-FWSLevel1">
    <w:name w:val="TG-FWS_Level1"/>
    <w:basedOn w:val="Heading1"/>
    <w:rsid w:val="00623E94"/>
    <w:pPr>
      <w:keepLines/>
      <w:numPr>
        <w:numId w:val="0"/>
      </w:numPr>
      <w:tabs>
        <w:tab w:val="left" w:pos="1134"/>
        <w:tab w:val="left" w:pos="1871"/>
        <w:tab w:val="left" w:pos="2268"/>
      </w:tabs>
      <w:overflowPunct w:val="0"/>
      <w:autoSpaceDE w:val="0"/>
      <w:autoSpaceDN w:val="0"/>
      <w:adjustRightInd w:val="0"/>
      <w:spacing w:before="280"/>
      <w:textAlignment w:val="baseline"/>
    </w:pPr>
    <w:rPr>
      <w:rFonts w:eastAsia="MS Mincho"/>
      <w:bCs w:val="0"/>
      <w:sz w:val="28"/>
      <w:szCs w:val="20"/>
      <w:lang w:val="en-GB" w:eastAsia="ja-JP"/>
    </w:rPr>
  </w:style>
  <w:style w:type="character" w:customStyle="1" w:styleId="Heading1Char">
    <w:name w:val="Heading 1 Char"/>
    <w:basedOn w:val="DefaultParagraphFont"/>
    <w:link w:val="Heading1"/>
    <w:rsid w:val="00753E5C"/>
    <w:rPr>
      <w:rFonts w:eastAsia="BatangChe"/>
      <w:b/>
      <w:bCs/>
      <w:sz w:val="24"/>
      <w:szCs w:val="24"/>
      <w:lang w:eastAsia="ko-KR"/>
    </w:rPr>
  </w:style>
  <w:style w:type="character" w:styleId="LineNumber">
    <w:name w:val="line number"/>
    <w:basedOn w:val="DefaultParagraphFont"/>
    <w:semiHidden/>
    <w:unhideWhenUsed/>
    <w:rsid w:val="00FD15D7"/>
  </w:style>
  <w:style w:type="character" w:customStyle="1" w:styleId="HeaderChar">
    <w:name w:val="Header Char"/>
    <w:basedOn w:val="DefaultParagraphFont"/>
    <w:link w:val="Header"/>
    <w:rsid w:val="00AD572A"/>
    <w:rPr>
      <w:rFonts w:eastAsia="BatangCh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059367">
      <w:bodyDiv w:val="1"/>
      <w:marLeft w:val="0"/>
      <w:marRight w:val="0"/>
      <w:marTop w:val="0"/>
      <w:marBottom w:val="0"/>
      <w:divBdr>
        <w:top w:val="none" w:sz="0" w:space="0" w:color="auto"/>
        <w:left w:val="none" w:sz="0" w:space="0" w:color="auto"/>
        <w:bottom w:val="none" w:sz="0" w:space="0" w:color="auto"/>
        <w:right w:val="none" w:sz="0" w:space="0" w:color="auto"/>
      </w:divBdr>
      <w:divsChild>
        <w:div w:id="494107233">
          <w:marLeft w:val="0"/>
          <w:marRight w:val="0"/>
          <w:marTop w:val="0"/>
          <w:marBottom w:val="0"/>
          <w:divBdr>
            <w:top w:val="none" w:sz="0" w:space="0" w:color="auto"/>
            <w:left w:val="none" w:sz="0" w:space="0" w:color="auto"/>
            <w:bottom w:val="none" w:sz="0" w:space="0" w:color="auto"/>
            <w:right w:val="none" w:sz="0" w:space="0" w:color="auto"/>
          </w:divBdr>
        </w:div>
      </w:divsChild>
    </w:div>
    <w:div w:id="526257427">
      <w:bodyDiv w:val="1"/>
      <w:marLeft w:val="0"/>
      <w:marRight w:val="0"/>
      <w:marTop w:val="0"/>
      <w:marBottom w:val="0"/>
      <w:divBdr>
        <w:top w:val="none" w:sz="0" w:space="0" w:color="auto"/>
        <w:left w:val="none" w:sz="0" w:space="0" w:color="auto"/>
        <w:bottom w:val="none" w:sz="0" w:space="0" w:color="auto"/>
        <w:right w:val="none" w:sz="0" w:space="0" w:color="auto"/>
      </w:divBdr>
    </w:div>
    <w:div w:id="563370028">
      <w:bodyDiv w:val="1"/>
      <w:marLeft w:val="0"/>
      <w:marRight w:val="0"/>
      <w:marTop w:val="0"/>
      <w:marBottom w:val="0"/>
      <w:divBdr>
        <w:top w:val="none" w:sz="0" w:space="0" w:color="auto"/>
        <w:left w:val="none" w:sz="0" w:space="0" w:color="auto"/>
        <w:bottom w:val="none" w:sz="0" w:space="0" w:color="auto"/>
        <w:right w:val="none" w:sz="0" w:space="0" w:color="auto"/>
      </w:divBdr>
      <w:divsChild>
        <w:div w:id="1457722441">
          <w:marLeft w:val="0"/>
          <w:marRight w:val="0"/>
          <w:marTop w:val="0"/>
          <w:marBottom w:val="0"/>
          <w:divBdr>
            <w:top w:val="none" w:sz="0" w:space="0" w:color="auto"/>
            <w:left w:val="none" w:sz="0" w:space="0" w:color="auto"/>
            <w:bottom w:val="none" w:sz="0" w:space="0" w:color="auto"/>
            <w:right w:val="none" w:sz="0" w:space="0" w:color="auto"/>
          </w:divBdr>
        </w:div>
        <w:div w:id="843012447">
          <w:marLeft w:val="0"/>
          <w:marRight w:val="0"/>
          <w:marTop w:val="0"/>
          <w:marBottom w:val="0"/>
          <w:divBdr>
            <w:top w:val="none" w:sz="0" w:space="0" w:color="auto"/>
            <w:left w:val="none" w:sz="0" w:space="0" w:color="auto"/>
            <w:bottom w:val="none" w:sz="0" w:space="0" w:color="auto"/>
            <w:right w:val="none" w:sz="0" w:space="0" w:color="auto"/>
          </w:divBdr>
          <w:divsChild>
            <w:div w:id="1424641895">
              <w:marLeft w:val="0"/>
              <w:marRight w:val="0"/>
              <w:marTop w:val="0"/>
              <w:marBottom w:val="0"/>
              <w:divBdr>
                <w:top w:val="none" w:sz="0" w:space="0" w:color="auto"/>
                <w:left w:val="none" w:sz="0" w:space="0" w:color="auto"/>
                <w:bottom w:val="none" w:sz="0" w:space="0" w:color="auto"/>
                <w:right w:val="none" w:sz="0" w:space="0" w:color="auto"/>
              </w:divBdr>
            </w:div>
            <w:div w:id="8968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56312">
      <w:bodyDiv w:val="1"/>
      <w:marLeft w:val="0"/>
      <w:marRight w:val="0"/>
      <w:marTop w:val="0"/>
      <w:marBottom w:val="0"/>
      <w:divBdr>
        <w:top w:val="none" w:sz="0" w:space="0" w:color="auto"/>
        <w:left w:val="none" w:sz="0" w:space="0" w:color="auto"/>
        <w:bottom w:val="none" w:sz="0" w:space="0" w:color="auto"/>
        <w:right w:val="none" w:sz="0" w:space="0" w:color="auto"/>
      </w:divBdr>
    </w:div>
    <w:div w:id="665550258">
      <w:bodyDiv w:val="1"/>
      <w:marLeft w:val="0"/>
      <w:marRight w:val="0"/>
      <w:marTop w:val="0"/>
      <w:marBottom w:val="0"/>
      <w:divBdr>
        <w:top w:val="none" w:sz="0" w:space="0" w:color="auto"/>
        <w:left w:val="none" w:sz="0" w:space="0" w:color="auto"/>
        <w:bottom w:val="none" w:sz="0" w:space="0" w:color="auto"/>
        <w:right w:val="none" w:sz="0" w:space="0" w:color="auto"/>
      </w:divBdr>
      <w:divsChild>
        <w:div w:id="1060902783">
          <w:marLeft w:val="0"/>
          <w:marRight w:val="0"/>
          <w:marTop w:val="0"/>
          <w:marBottom w:val="0"/>
          <w:divBdr>
            <w:top w:val="none" w:sz="0" w:space="0" w:color="auto"/>
            <w:left w:val="none" w:sz="0" w:space="0" w:color="auto"/>
            <w:bottom w:val="none" w:sz="0" w:space="0" w:color="auto"/>
            <w:right w:val="none" w:sz="0" w:space="0" w:color="auto"/>
          </w:divBdr>
          <w:divsChild>
            <w:div w:id="575019565">
              <w:marLeft w:val="0"/>
              <w:marRight w:val="0"/>
              <w:marTop w:val="0"/>
              <w:marBottom w:val="0"/>
              <w:divBdr>
                <w:top w:val="none" w:sz="0" w:space="0" w:color="auto"/>
                <w:left w:val="none" w:sz="0" w:space="0" w:color="auto"/>
                <w:bottom w:val="none" w:sz="0" w:space="0" w:color="auto"/>
                <w:right w:val="none" w:sz="0" w:space="0" w:color="auto"/>
              </w:divBdr>
              <w:divsChild>
                <w:div w:id="20626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69192">
          <w:marLeft w:val="0"/>
          <w:marRight w:val="0"/>
          <w:marTop w:val="0"/>
          <w:marBottom w:val="0"/>
          <w:divBdr>
            <w:top w:val="none" w:sz="0" w:space="0" w:color="auto"/>
            <w:left w:val="none" w:sz="0" w:space="0" w:color="auto"/>
            <w:bottom w:val="none" w:sz="0" w:space="0" w:color="auto"/>
            <w:right w:val="none" w:sz="0" w:space="0" w:color="auto"/>
          </w:divBdr>
          <w:divsChild>
            <w:div w:id="1372924869">
              <w:marLeft w:val="0"/>
              <w:marRight w:val="0"/>
              <w:marTop w:val="0"/>
              <w:marBottom w:val="0"/>
              <w:divBdr>
                <w:top w:val="none" w:sz="0" w:space="0" w:color="auto"/>
                <w:left w:val="none" w:sz="0" w:space="0" w:color="auto"/>
                <w:bottom w:val="none" w:sz="0" w:space="0" w:color="auto"/>
                <w:right w:val="none" w:sz="0" w:space="0" w:color="auto"/>
              </w:divBdr>
              <w:divsChild>
                <w:div w:id="1710565572">
                  <w:marLeft w:val="0"/>
                  <w:marRight w:val="0"/>
                  <w:marTop w:val="0"/>
                  <w:marBottom w:val="0"/>
                  <w:divBdr>
                    <w:top w:val="none" w:sz="0" w:space="0" w:color="auto"/>
                    <w:left w:val="none" w:sz="0" w:space="0" w:color="auto"/>
                    <w:bottom w:val="none" w:sz="0" w:space="0" w:color="auto"/>
                    <w:right w:val="none" w:sz="0" w:space="0" w:color="auto"/>
                  </w:divBdr>
                </w:div>
                <w:div w:id="208424313">
                  <w:marLeft w:val="0"/>
                  <w:marRight w:val="0"/>
                  <w:marTop w:val="0"/>
                  <w:marBottom w:val="0"/>
                  <w:divBdr>
                    <w:top w:val="none" w:sz="0" w:space="0" w:color="auto"/>
                    <w:left w:val="none" w:sz="0" w:space="0" w:color="auto"/>
                    <w:bottom w:val="none" w:sz="0" w:space="0" w:color="auto"/>
                    <w:right w:val="none" w:sz="0" w:space="0" w:color="auto"/>
                  </w:divBdr>
                </w:div>
                <w:div w:id="799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1268">
          <w:marLeft w:val="0"/>
          <w:marRight w:val="0"/>
          <w:marTop w:val="0"/>
          <w:marBottom w:val="0"/>
          <w:divBdr>
            <w:top w:val="none" w:sz="0" w:space="0" w:color="auto"/>
            <w:left w:val="none" w:sz="0" w:space="0" w:color="auto"/>
            <w:bottom w:val="none" w:sz="0" w:space="0" w:color="auto"/>
            <w:right w:val="none" w:sz="0" w:space="0" w:color="auto"/>
          </w:divBdr>
          <w:divsChild>
            <w:div w:id="642538538">
              <w:marLeft w:val="0"/>
              <w:marRight w:val="0"/>
              <w:marTop w:val="0"/>
              <w:marBottom w:val="0"/>
              <w:divBdr>
                <w:top w:val="none" w:sz="0" w:space="0" w:color="auto"/>
                <w:left w:val="none" w:sz="0" w:space="0" w:color="auto"/>
                <w:bottom w:val="none" w:sz="0" w:space="0" w:color="auto"/>
                <w:right w:val="none" w:sz="0" w:space="0" w:color="auto"/>
              </w:divBdr>
            </w:div>
            <w:div w:id="1432241903">
              <w:marLeft w:val="0"/>
              <w:marRight w:val="0"/>
              <w:marTop w:val="0"/>
              <w:marBottom w:val="0"/>
              <w:divBdr>
                <w:top w:val="none" w:sz="0" w:space="0" w:color="auto"/>
                <w:left w:val="none" w:sz="0" w:space="0" w:color="auto"/>
                <w:bottom w:val="none" w:sz="0" w:space="0" w:color="auto"/>
                <w:right w:val="none" w:sz="0" w:space="0" w:color="auto"/>
              </w:divBdr>
            </w:div>
            <w:div w:id="1691834706">
              <w:marLeft w:val="0"/>
              <w:marRight w:val="0"/>
              <w:marTop w:val="0"/>
              <w:marBottom w:val="0"/>
              <w:divBdr>
                <w:top w:val="none" w:sz="0" w:space="0" w:color="auto"/>
                <w:left w:val="none" w:sz="0" w:space="0" w:color="auto"/>
                <w:bottom w:val="none" w:sz="0" w:space="0" w:color="auto"/>
                <w:right w:val="none" w:sz="0" w:space="0" w:color="auto"/>
              </w:divBdr>
            </w:div>
          </w:divsChild>
        </w:div>
        <w:div w:id="1735930079">
          <w:marLeft w:val="0"/>
          <w:marRight w:val="0"/>
          <w:marTop w:val="0"/>
          <w:marBottom w:val="0"/>
          <w:divBdr>
            <w:top w:val="none" w:sz="0" w:space="0" w:color="auto"/>
            <w:left w:val="none" w:sz="0" w:space="0" w:color="auto"/>
            <w:bottom w:val="none" w:sz="0" w:space="0" w:color="auto"/>
            <w:right w:val="none" w:sz="0" w:space="0" w:color="auto"/>
          </w:divBdr>
          <w:divsChild>
            <w:div w:id="1527283020">
              <w:marLeft w:val="0"/>
              <w:marRight w:val="0"/>
              <w:marTop w:val="0"/>
              <w:marBottom w:val="0"/>
              <w:divBdr>
                <w:top w:val="none" w:sz="0" w:space="0" w:color="auto"/>
                <w:left w:val="none" w:sz="0" w:space="0" w:color="auto"/>
                <w:bottom w:val="none" w:sz="0" w:space="0" w:color="auto"/>
                <w:right w:val="none" w:sz="0" w:space="0" w:color="auto"/>
              </w:divBdr>
              <w:divsChild>
                <w:div w:id="14233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8156">
          <w:marLeft w:val="0"/>
          <w:marRight w:val="0"/>
          <w:marTop w:val="0"/>
          <w:marBottom w:val="0"/>
          <w:divBdr>
            <w:top w:val="none" w:sz="0" w:space="0" w:color="auto"/>
            <w:left w:val="none" w:sz="0" w:space="0" w:color="auto"/>
            <w:bottom w:val="none" w:sz="0" w:space="0" w:color="auto"/>
            <w:right w:val="none" w:sz="0" w:space="0" w:color="auto"/>
          </w:divBdr>
          <w:divsChild>
            <w:div w:id="1997025704">
              <w:marLeft w:val="0"/>
              <w:marRight w:val="0"/>
              <w:marTop w:val="0"/>
              <w:marBottom w:val="0"/>
              <w:divBdr>
                <w:top w:val="none" w:sz="0" w:space="0" w:color="auto"/>
                <w:left w:val="none" w:sz="0" w:space="0" w:color="auto"/>
                <w:bottom w:val="none" w:sz="0" w:space="0" w:color="auto"/>
                <w:right w:val="none" w:sz="0" w:space="0" w:color="auto"/>
              </w:divBdr>
              <w:divsChild>
                <w:div w:id="2039698261">
                  <w:marLeft w:val="0"/>
                  <w:marRight w:val="0"/>
                  <w:marTop w:val="0"/>
                  <w:marBottom w:val="0"/>
                  <w:divBdr>
                    <w:top w:val="none" w:sz="0" w:space="0" w:color="auto"/>
                    <w:left w:val="none" w:sz="0" w:space="0" w:color="auto"/>
                    <w:bottom w:val="none" w:sz="0" w:space="0" w:color="auto"/>
                    <w:right w:val="none" w:sz="0" w:space="0" w:color="auto"/>
                  </w:divBdr>
                  <w:divsChild>
                    <w:div w:id="341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9220">
          <w:marLeft w:val="0"/>
          <w:marRight w:val="0"/>
          <w:marTop w:val="0"/>
          <w:marBottom w:val="0"/>
          <w:divBdr>
            <w:top w:val="none" w:sz="0" w:space="0" w:color="auto"/>
            <w:left w:val="none" w:sz="0" w:space="0" w:color="auto"/>
            <w:bottom w:val="none" w:sz="0" w:space="0" w:color="auto"/>
            <w:right w:val="none" w:sz="0" w:space="0" w:color="auto"/>
          </w:divBdr>
          <w:divsChild>
            <w:div w:id="2045250638">
              <w:marLeft w:val="0"/>
              <w:marRight w:val="0"/>
              <w:marTop w:val="0"/>
              <w:marBottom w:val="0"/>
              <w:divBdr>
                <w:top w:val="none" w:sz="0" w:space="0" w:color="auto"/>
                <w:left w:val="none" w:sz="0" w:space="0" w:color="auto"/>
                <w:bottom w:val="none" w:sz="0" w:space="0" w:color="auto"/>
                <w:right w:val="none" w:sz="0" w:space="0" w:color="auto"/>
              </w:divBdr>
              <w:divsChild>
                <w:div w:id="263465133">
                  <w:marLeft w:val="0"/>
                  <w:marRight w:val="0"/>
                  <w:marTop w:val="0"/>
                  <w:marBottom w:val="0"/>
                  <w:divBdr>
                    <w:top w:val="none" w:sz="0" w:space="0" w:color="auto"/>
                    <w:left w:val="none" w:sz="0" w:space="0" w:color="auto"/>
                    <w:bottom w:val="none" w:sz="0" w:space="0" w:color="auto"/>
                    <w:right w:val="none" w:sz="0" w:space="0" w:color="auto"/>
                  </w:divBdr>
                  <w:divsChild>
                    <w:div w:id="2035181302">
                      <w:marLeft w:val="0"/>
                      <w:marRight w:val="0"/>
                      <w:marTop w:val="0"/>
                      <w:marBottom w:val="0"/>
                      <w:divBdr>
                        <w:top w:val="none" w:sz="0" w:space="0" w:color="auto"/>
                        <w:left w:val="none" w:sz="0" w:space="0" w:color="auto"/>
                        <w:bottom w:val="none" w:sz="0" w:space="0" w:color="auto"/>
                        <w:right w:val="none" w:sz="0" w:space="0" w:color="auto"/>
                      </w:divBdr>
                      <w:divsChild>
                        <w:div w:id="324825764">
                          <w:marLeft w:val="0"/>
                          <w:marRight w:val="0"/>
                          <w:marTop w:val="0"/>
                          <w:marBottom w:val="0"/>
                          <w:divBdr>
                            <w:top w:val="none" w:sz="0" w:space="0" w:color="auto"/>
                            <w:left w:val="none" w:sz="0" w:space="0" w:color="auto"/>
                            <w:bottom w:val="none" w:sz="0" w:space="0" w:color="auto"/>
                            <w:right w:val="none" w:sz="0" w:space="0" w:color="auto"/>
                          </w:divBdr>
                          <w:divsChild>
                            <w:div w:id="65615800">
                              <w:marLeft w:val="0"/>
                              <w:marRight w:val="0"/>
                              <w:marTop w:val="0"/>
                              <w:marBottom w:val="0"/>
                              <w:divBdr>
                                <w:top w:val="none" w:sz="0" w:space="0" w:color="auto"/>
                                <w:left w:val="none" w:sz="0" w:space="0" w:color="auto"/>
                                <w:bottom w:val="none" w:sz="0" w:space="0" w:color="auto"/>
                                <w:right w:val="none" w:sz="0" w:space="0" w:color="auto"/>
                              </w:divBdr>
                            </w:div>
                          </w:divsChild>
                        </w:div>
                        <w:div w:id="2073650853">
                          <w:marLeft w:val="0"/>
                          <w:marRight w:val="0"/>
                          <w:marTop w:val="0"/>
                          <w:marBottom w:val="0"/>
                          <w:divBdr>
                            <w:top w:val="none" w:sz="0" w:space="0" w:color="auto"/>
                            <w:left w:val="none" w:sz="0" w:space="0" w:color="auto"/>
                            <w:bottom w:val="none" w:sz="0" w:space="0" w:color="auto"/>
                            <w:right w:val="none" w:sz="0" w:space="0" w:color="auto"/>
                          </w:divBdr>
                          <w:divsChild>
                            <w:div w:id="1444111784">
                              <w:marLeft w:val="0"/>
                              <w:marRight w:val="0"/>
                              <w:marTop w:val="0"/>
                              <w:marBottom w:val="0"/>
                              <w:divBdr>
                                <w:top w:val="none" w:sz="0" w:space="0" w:color="auto"/>
                                <w:left w:val="none" w:sz="0" w:space="0" w:color="auto"/>
                                <w:bottom w:val="none" w:sz="0" w:space="0" w:color="auto"/>
                                <w:right w:val="none" w:sz="0" w:space="0" w:color="auto"/>
                              </w:divBdr>
                              <w:divsChild>
                                <w:div w:id="5823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346469">
          <w:marLeft w:val="0"/>
          <w:marRight w:val="0"/>
          <w:marTop w:val="0"/>
          <w:marBottom w:val="0"/>
          <w:divBdr>
            <w:top w:val="none" w:sz="0" w:space="0" w:color="auto"/>
            <w:left w:val="none" w:sz="0" w:space="0" w:color="auto"/>
            <w:bottom w:val="none" w:sz="0" w:space="0" w:color="auto"/>
            <w:right w:val="none" w:sz="0" w:space="0" w:color="auto"/>
          </w:divBdr>
          <w:divsChild>
            <w:div w:id="207844503">
              <w:marLeft w:val="0"/>
              <w:marRight w:val="0"/>
              <w:marTop w:val="0"/>
              <w:marBottom w:val="0"/>
              <w:divBdr>
                <w:top w:val="none" w:sz="0" w:space="0" w:color="auto"/>
                <w:left w:val="none" w:sz="0" w:space="0" w:color="auto"/>
                <w:bottom w:val="none" w:sz="0" w:space="0" w:color="auto"/>
                <w:right w:val="none" w:sz="0" w:space="0" w:color="auto"/>
              </w:divBdr>
            </w:div>
            <w:div w:id="2093039248">
              <w:marLeft w:val="0"/>
              <w:marRight w:val="0"/>
              <w:marTop w:val="0"/>
              <w:marBottom w:val="0"/>
              <w:divBdr>
                <w:top w:val="none" w:sz="0" w:space="0" w:color="auto"/>
                <w:left w:val="none" w:sz="0" w:space="0" w:color="auto"/>
                <w:bottom w:val="none" w:sz="0" w:space="0" w:color="auto"/>
                <w:right w:val="none" w:sz="0" w:space="0" w:color="auto"/>
              </w:divBdr>
            </w:div>
            <w:div w:id="165679429">
              <w:marLeft w:val="0"/>
              <w:marRight w:val="0"/>
              <w:marTop w:val="0"/>
              <w:marBottom w:val="0"/>
              <w:divBdr>
                <w:top w:val="none" w:sz="0" w:space="0" w:color="auto"/>
                <w:left w:val="none" w:sz="0" w:space="0" w:color="auto"/>
                <w:bottom w:val="none" w:sz="0" w:space="0" w:color="auto"/>
                <w:right w:val="none" w:sz="0" w:space="0" w:color="auto"/>
              </w:divBdr>
            </w:div>
            <w:div w:id="623464541">
              <w:marLeft w:val="0"/>
              <w:marRight w:val="0"/>
              <w:marTop w:val="0"/>
              <w:marBottom w:val="0"/>
              <w:divBdr>
                <w:top w:val="none" w:sz="0" w:space="0" w:color="auto"/>
                <w:left w:val="none" w:sz="0" w:space="0" w:color="auto"/>
                <w:bottom w:val="none" w:sz="0" w:space="0" w:color="auto"/>
                <w:right w:val="none" w:sz="0" w:space="0" w:color="auto"/>
              </w:divBdr>
              <w:divsChild>
                <w:div w:id="105850391">
                  <w:marLeft w:val="0"/>
                  <w:marRight w:val="0"/>
                  <w:marTop w:val="0"/>
                  <w:marBottom w:val="0"/>
                  <w:divBdr>
                    <w:top w:val="none" w:sz="0" w:space="0" w:color="auto"/>
                    <w:left w:val="none" w:sz="0" w:space="0" w:color="auto"/>
                    <w:bottom w:val="none" w:sz="0" w:space="0" w:color="auto"/>
                    <w:right w:val="none" w:sz="0" w:space="0" w:color="auto"/>
                  </w:divBdr>
                </w:div>
                <w:div w:id="12110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7501">
          <w:marLeft w:val="0"/>
          <w:marRight w:val="0"/>
          <w:marTop w:val="0"/>
          <w:marBottom w:val="0"/>
          <w:divBdr>
            <w:top w:val="none" w:sz="0" w:space="0" w:color="auto"/>
            <w:left w:val="none" w:sz="0" w:space="0" w:color="auto"/>
            <w:bottom w:val="none" w:sz="0" w:space="0" w:color="auto"/>
            <w:right w:val="none" w:sz="0" w:space="0" w:color="auto"/>
          </w:divBdr>
          <w:divsChild>
            <w:div w:id="10042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1063">
      <w:bodyDiv w:val="1"/>
      <w:marLeft w:val="0"/>
      <w:marRight w:val="0"/>
      <w:marTop w:val="0"/>
      <w:marBottom w:val="0"/>
      <w:divBdr>
        <w:top w:val="none" w:sz="0" w:space="0" w:color="auto"/>
        <w:left w:val="none" w:sz="0" w:space="0" w:color="auto"/>
        <w:bottom w:val="none" w:sz="0" w:space="0" w:color="auto"/>
        <w:right w:val="none" w:sz="0" w:space="0" w:color="auto"/>
      </w:divBdr>
    </w:div>
    <w:div w:id="884414489">
      <w:bodyDiv w:val="1"/>
      <w:marLeft w:val="0"/>
      <w:marRight w:val="0"/>
      <w:marTop w:val="0"/>
      <w:marBottom w:val="0"/>
      <w:divBdr>
        <w:top w:val="none" w:sz="0" w:space="0" w:color="auto"/>
        <w:left w:val="none" w:sz="0" w:space="0" w:color="auto"/>
        <w:bottom w:val="none" w:sz="0" w:space="0" w:color="auto"/>
        <w:right w:val="none" w:sz="0" w:space="0" w:color="auto"/>
      </w:divBdr>
    </w:div>
    <w:div w:id="904998877">
      <w:bodyDiv w:val="1"/>
      <w:marLeft w:val="0"/>
      <w:marRight w:val="0"/>
      <w:marTop w:val="0"/>
      <w:marBottom w:val="0"/>
      <w:divBdr>
        <w:top w:val="none" w:sz="0" w:space="0" w:color="auto"/>
        <w:left w:val="none" w:sz="0" w:space="0" w:color="auto"/>
        <w:bottom w:val="none" w:sz="0" w:space="0" w:color="auto"/>
        <w:right w:val="none" w:sz="0" w:space="0" w:color="auto"/>
      </w:divBdr>
    </w:div>
    <w:div w:id="1168667240">
      <w:bodyDiv w:val="1"/>
      <w:marLeft w:val="0"/>
      <w:marRight w:val="0"/>
      <w:marTop w:val="0"/>
      <w:marBottom w:val="0"/>
      <w:divBdr>
        <w:top w:val="none" w:sz="0" w:space="0" w:color="auto"/>
        <w:left w:val="none" w:sz="0" w:space="0" w:color="auto"/>
        <w:bottom w:val="none" w:sz="0" w:space="0" w:color="auto"/>
        <w:right w:val="none" w:sz="0" w:space="0" w:color="auto"/>
      </w:divBdr>
    </w:div>
    <w:div w:id="1191915390">
      <w:bodyDiv w:val="1"/>
      <w:marLeft w:val="0"/>
      <w:marRight w:val="0"/>
      <w:marTop w:val="0"/>
      <w:marBottom w:val="0"/>
      <w:divBdr>
        <w:top w:val="none" w:sz="0" w:space="0" w:color="auto"/>
        <w:left w:val="none" w:sz="0" w:space="0" w:color="auto"/>
        <w:bottom w:val="none" w:sz="0" w:space="0" w:color="auto"/>
        <w:right w:val="none" w:sz="0" w:space="0" w:color="auto"/>
      </w:divBdr>
      <w:divsChild>
        <w:div w:id="1547838105">
          <w:marLeft w:val="0"/>
          <w:marRight w:val="0"/>
          <w:marTop w:val="0"/>
          <w:marBottom w:val="0"/>
          <w:divBdr>
            <w:top w:val="none" w:sz="0" w:space="0" w:color="auto"/>
            <w:left w:val="none" w:sz="0" w:space="0" w:color="auto"/>
            <w:bottom w:val="none" w:sz="0" w:space="0" w:color="auto"/>
            <w:right w:val="none" w:sz="0" w:space="0" w:color="auto"/>
          </w:divBdr>
          <w:divsChild>
            <w:div w:id="1510365593">
              <w:marLeft w:val="0"/>
              <w:marRight w:val="0"/>
              <w:marTop w:val="0"/>
              <w:marBottom w:val="0"/>
              <w:divBdr>
                <w:top w:val="none" w:sz="0" w:space="0" w:color="auto"/>
                <w:left w:val="none" w:sz="0" w:space="0" w:color="auto"/>
                <w:bottom w:val="none" w:sz="0" w:space="0" w:color="auto"/>
                <w:right w:val="none" w:sz="0" w:space="0" w:color="auto"/>
              </w:divBdr>
            </w:div>
          </w:divsChild>
        </w:div>
        <w:div w:id="1234580912">
          <w:marLeft w:val="0"/>
          <w:marRight w:val="0"/>
          <w:marTop w:val="0"/>
          <w:marBottom w:val="0"/>
          <w:divBdr>
            <w:top w:val="none" w:sz="0" w:space="0" w:color="auto"/>
            <w:left w:val="none" w:sz="0" w:space="0" w:color="auto"/>
            <w:bottom w:val="none" w:sz="0" w:space="0" w:color="auto"/>
            <w:right w:val="none" w:sz="0" w:space="0" w:color="auto"/>
          </w:divBdr>
          <w:divsChild>
            <w:div w:id="15183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27676">
      <w:bodyDiv w:val="1"/>
      <w:marLeft w:val="0"/>
      <w:marRight w:val="0"/>
      <w:marTop w:val="0"/>
      <w:marBottom w:val="0"/>
      <w:divBdr>
        <w:top w:val="none" w:sz="0" w:space="0" w:color="auto"/>
        <w:left w:val="none" w:sz="0" w:space="0" w:color="auto"/>
        <w:bottom w:val="none" w:sz="0" w:space="0" w:color="auto"/>
        <w:right w:val="none" w:sz="0" w:space="0" w:color="auto"/>
      </w:divBdr>
      <w:divsChild>
        <w:div w:id="549003485">
          <w:marLeft w:val="0"/>
          <w:marRight w:val="0"/>
          <w:marTop w:val="0"/>
          <w:marBottom w:val="0"/>
          <w:divBdr>
            <w:top w:val="none" w:sz="0" w:space="0" w:color="auto"/>
            <w:left w:val="none" w:sz="0" w:space="0" w:color="auto"/>
            <w:bottom w:val="none" w:sz="0" w:space="0" w:color="auto"/>
            <w:right w:val="none" w:sz="0" w:space="0" w:color="auto"/>
          </w:divBdr>
          <w:divsChild>
            <w:div w:id="311254984">
              <w:marLeft w:val="0"/>
              <w:marRight w:val="0"/>
              <w:marTop w:val="0"/>
              <w:marBottom w:val="0"/>
              <w:divBdr>
                <w:top w:val="none" w:sz="0" w:space="0" w:color="auto"/>
                <w:left w:val="none" w:sz="0" w:space="0" w:color="auto"/>
                <w:bottom w:val="none" w:sz="0" w:space="0" w:color="auto"/>
                <w:right w:val="none" w:sz="0" w:space="0" w:color="auto"/>
              </w:divBdr>
              <w:divsChild>
                <w:div w:id="928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2411">
      <w:bodyDiv w:val="1"/>
      <w:marLeft w:val="0"/>
      <w:marRight w:val="0"/>
      <w:marTop w:val="0"/>
      <w:marBottom w:val="0"/>
      <w:divBdr>
        <w:top w:val="none" w:sz="0" w:space="0" w:color="auto"/>
        <w:left w:val="none" w:sz="0" w:space="0" w:color="auto"/>
        <w:bottom w:val="none" w:sz="0" w:space="0" w:color="auto"/>
        <w:right w:val="none" w:sz="0" w:space="0" w:color="auto"/>
      </w:divBdr>
    </w:div>
    <w:div w:id="1347907520">
      <w:bodyDiv w:val="1"/>
      <w:marLeft w:val="0"/>
      <w:marRight w:val="0"/>
      <w:marTop w:val="0"/>
      <w:marBottom w:val="0"/>
      <w:divBdr>
        <w:top w:val="none" w:sz="0" w:space="0" w:color="auto"/>
        <w:left w:val="none" w:sz="0" w:space="0" w:color="auto"/>
        <w:bottom w:val="none" w:sz="0" w:space="0" w:color="auto"/>
        <w:right w:val="none" w:sz="0" w:space="0" w:color="auto"/>
      </w:divBdr>
      <w:divsChild>
        <w:div w:id="508301635">
          <w:marLeft w:val="0"/>
          <w:marRight w:val="0"/>
          <w:marTop w:val="0"/>
          <w:marBottom w:val="0"/>
          <w:divBdr>
            <w:top w:val="none" w:sz="0" w:space="0" w:color="auto"/>
            <w:left w:val="none" w:sz="0" w:space="0" w:color="auto"/>
            <w:bottom w:val="none" w:sz="0" w:space="0" w:color="auto"/>
            <w:right w:val="none" w:sz="0" w:space="0" w:color="auto"/>
          </w:divBdr>
          <w:divsChild>
            <w:div w:id="14612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3393">
      <w:bodyDiv w:val="1"/>
      <w:marLeft w:val="0"/>
      <w:marRight w:val="0"/>
      <w:marTop w:val="0"/>
      <w:marBottom w:val="0"/>
      <w:divBdr>
        <w:top w:val="none" w:sz="0" w:space="0" w:color="auto"/>
        <w:left w:val="none" w:sz="0" w:space="0" w:color="auto"/>
        <w:bottom w:val="none" w:sz="0" w:space="0" w:color="auto"/>
        <w:right w:val="none" w:sz="0" w:space="0" w:color="auto"/>
      </w:divBdr>
    </w:div>
    <w:div w:id="1807241939">
      <w:bodyDiv w:val="1"/>
      <w:marLeft w:val="0"/>
      <w:marRight w:val="0"/>
      <w:marTop w:val="0"/>
      <w:marBottom w:val="0"/>
      <w:divBdr>
        <w:top w:val="none" w:sz="0" w:space="0" w:color="auto"/>
        <w:left w:val="none" w:sz="0" w:space="0" w:color="auto"/>
        <w:bottom w:val="none" w:sz="0" w:space="0" w:color="auto"/>
        <w:right w:val="none" w:sz="0" w:space="0" w:color="auto"/>
      </w:divBdr>
      <w:divsChild>
        <w:div w:id="1260528243">
          <w:marLeft w:val="0"/>
          <w:marRight w:val="0"/>
          <w:marTop w:val="0"/>
          <w:marBottom w:val="0"/>
          <w:divBdr>
            <w:top w:val="none" w:sz="0" w:space="0" w:color="auto"/>
            <w:left w:val="none" w:sz="0" w:space="0" w:color="auto"/>
            <w:bottom w:val="none" w:sz="0" w:space="0" w:color="auto"/>
            <w:right w:val="none" w:sz="0" w:space="0" w:color="auto"/>
          </w:divBdr>
          <w:divsChild>
            <w:div w:id="910429197">
              <w:marLeft w:val="0"/>
              <w:marRight w:val="0"/>
              <w:marTop w:val="0"/>
              <w:marBottom w:val="0"/>
              <w:divBdr>
                <w:top w:val="none" w:sz="0" w:space="0" w:color="auto"/>
                <w:left w:val="none" w:sz="0" w:space="0" w:color="auto"/>
                <w:bottom w:val="none" w:sz="0" w:space="0" w:color="auto"/>
                <w:right w:val="none" w:sz="0" w:space="0" w:color="auto"/>
              </w:divBdr>
              <w:divsChild>
                <w:div w:id="225337272">
                  <w:marLeft w:val="0"/>
                  <w:marRight w:val="0"/>
                  <w:marTop w:val="0"/>
                  <w:marBottom w:val="0"/>
                  <w:divBdr>
                    <w:top w:val="none" w:sz="0" w:space="0" w:color="auto"/>
                    <w:left w:val="none" w:sz="0" w:space="0" w:color="auto"/>
                    <w:bottom w:val="none" w:sz="0" w:space="0" w:color="auto"/>
                    <w:right w:val="none" w:sz="0" w:space="0" w:color="auto"/>
                  </w:divBdr>
                  <w:divsChild>
                    <w:div w:id="5620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3950">
          <w:marLeft w:val="0"/>
          <w:marRight w:val="0"/>
          <w:marTop w:val="0"/>
          <w:marBottom w:val="0"/>
          <w:divBdr>
            <w:top w:val="none" w:sz="0" w:space="0" w:color="auto"/>
            <w:left w:val="none" w:sz="0" w:space="0" w:color="auto"/>
            <w:bottom w:val="none" w:sz="0" w:space="0" w:color="auto"/>
            <w:right w:val="none" w:sz="0" w:space="0" w:color="auto"/>
          </w:divBdr>
          <w:divsChild>
            <w:div w:id="2072996484">
              <w:marLeft w:val="0"/>
              <w:marRight w:val="0"/>
              <w:marTop w:val="0"/>
              <w:marBottom w:val="0"/>
              <w:divBdr>
                <w:top w:val="none" w:sz="0" w:space="0" w:color="auto"/>
                <w:left w:val="none" w:sz="0" w:space="0" w:color="auto"/>
                <w:bottom w:val="none" w:sz="0" w:space="0" w:color="auto"/>
                <w:right w:val="none" w:sz="0" w:space="0" w:color="auto"/>
              </w:divBdr>
              <w:divsChild>
                <w:div w:id="3581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28517">
      <w:bodyDiv w:val="1"/>
      <w:marLeft w:val="0"/>
      <w:marRight w:val="0"/>
      <w:marTop w:val="0"/>
      <w:marBottom w:val="0"/>
      <w:divBdr>
        <w:top w:val="none" w:sz="0" w:space="0" w:color="auto"/>
        <w:left w:val="none" w:sz="0" w:space="0" w:color="auto"/>
        <w:bottom w:val="none" w:sz="0" w:space="0" w:color="auto"/>
        <w:right w:val="none" w:sz="0" w:space="0" w:color="auto"/>
      </w:divBdr>
    </w:div>
    <w:div w:id="2132480235">
      <w:bodyDiv w:val="1"/>
      <w:marLeft w:val="0"/>
      <w:marRight w:val="0"/>
      <w:marTop w:val="0"/>
      <w:marBottom w:val="0"/>
      <w:divBdr>
        <w:top w:val="none" w:sz="0" w:space="0" w:color="auto"/>
        <w:left w:val="none" w:sz="0" w:space="0" w:color="auto"/>
        <w:bottom w:val="none" w:sz="0" w:space="0" w:color="auto"/>
        <w:right w:val="none" w:sz="0" w:space="0" w:color="auto"/>
      </w:divBdr>
      <w:divsChild>
        <w:div w:id="1703549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iit.gov.cn/xwdt/gxdt/sjdt/art/2023/art_9d2f16ff8d6242f49706ef73ba8692cb.html" TargetMode="External"/><Relationship Id="rId3" Type="http://schemas.openxmlformats.org/officeDocument/2006/relationships/hyperlink" Target="https://www.gsma.com/connectivity-for-good/spectrum/wp-content/uploads/2022/02/Mobile-Spectrum-Licensing-Best-Practice.pdf" TargetMode="External"/><Relationship Id="rId7" Type="http://schemas.openxmlformats.org/officeDocument/2006/relationships/hyperlink" Target="https://www.miit.gov.cn/jgsj/txs/wjfb/art/2024/art_30e11debd2ab4eed88a00dfe8bdaa8a2.html" TargetMode="External"/><Relationship Id="rId2" Type="http://schemas.openxmlformats.org/officeDocument/2006/relationships/hyperlink" Target="https://www.gsma.com/connectivity-for-good/spectrum/wp-content/uploads/2022/01/Spectrum-Leasing-5G-Era.pdf" TargetMode="External"/><Relationship Id="rId1" Type="http://schemas.openxmlformats.org/officeDocument/2006/relationships/hyperlink" Target="https://www.gsma.com/connectivity-for-good/spectrum/wp-content/uploads/2021/06/Spectrum-Sharing-Positions.pdf" TargetMode="External"/><Relationship Id="rId6" Type="http://schemas.openxmlformats.org/officeDocument/2006/relationships/hyperlink" Target="https://www.miit.gov.cn/jgsj/txs/gzdt/art/2022/art_45a7b18dfb6d41e0bc3254a9686620d3.html" TargetMode="External"/><Relationship Id="rId11" Type="http://schemas.openxmlformats.org/officeDocument/2006/relationships/hyperlink" Target="https://www.gsma.com/connectivity-for-good/spectrum/gsma_resources/swn-single-wholesale-networks/" TargetMode="External"/><Relationship Id="rId5" Type="http://schemas.openxmlformats.org/officeDocument/2006/relationships/hyperlink" Target="https://www.gov.cn/lianbo/bumen/202305/content_6876197.html" TargetMode="External"/><Relationship Id="rId10" Type="http://schemas.openxmlformats.org/officeDocument/2006/relationships/hyperlink" Target="https://www.miit.gov.cn/jgsj/txs/wjfb/art/2020/art_72744a8f6ad146b6b6336c0e25c029c6.html" TargetMode="External"/><Relationship Id="rId4" Type="http://schemas.openxmlformats.org/officeDocument/2006/relationships/hyperlink" Target="https://www.miit.gov.cn/zwgk/zcwj/wjfb/tz/art/2021/art_771cac9bf8ac4f4d97ee87cc5bd2362e.html" TargetMode="External"/><Relationship Id="rId9" Type="http://schemas.openxmlformats.org/officeDocument/2006/relationships/hyperlink" Target="https://www.gsma.com/get-involved/gsma-foundry/gsma_resources/shared-network-smart-co-governance-white-pap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76BF1CADA4947BBD87AD26FA6FCDA" ma:contentTypeVersion="11" ma:contentTypeDescription="Create a new document." ma:contentTypeScope="" ma:versionID="99b3e68dd2bfeec39e1ded555c264894">
  <xsd:schema xmlns:xsd="http://www.w3.org/2001/XMLSchema" xmlns:xs="http://www.w3.org/2001/XMLSchema" xmlns:p="http://schemas.microsoft.com/office/2006/metadata/properties" xmlns:ns3="f487fa4f-8f3a-45ac-b7d3-3e147d37211a" targetNamespace="http://schemas.microsoft.com/office/2006/metadata/properties" ma:root="true" ma:fieldsID="54b9fd32ac45864b64bd98856115fb79" ns3:_="">
    <xsd:import namespace="f487fa4f-8f3a-45ac-b7d3-3e147d37211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fa4f-8f3a-45ac-b7d3-3e147d3721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DA0EBB-440B-44E3-BF50-7F26E5136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7fa4f-8f3a-45ac-b7d3-3e147d372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10F541-078A-40D2-9D12-2C836FFB20D6}">
  <ds:schemaRefs>
    <ds:schemaRef ds:uri="http://schemas.microsoft.com/sharepoint/v3/contenttype/forms"/>
  </ds:schemaRefs>
</ds:datastoreItem>
</file>

<file path=customXml/itemProps3.xml><?xml version="1.0" encoding="utf-8"?>
<ds:datastoreItem xmlns:ds="http://schemas.openxmlformats.org/officeDocument/2006/customXml" ds:itemID="{A13F9EB2-A6E6-43AA-8038-D6DF66192A3F}">
  <ds:schemaRefs>
    <ds:schemaRef ds:uri="http://schemas.openxmlformats.org/officeDocument/2006/bibliography"/>
  </ds:schemaRefs>
</ds:datastoreItem>
</file>

<file path=customXml/itemProps4.xml><?xml version="1.0" encoding="utf-8"?>
<ds:datastoreItem xmlns:ds="http://schemas.openxmlformats.org/officeDocument/2006/customXml" ds:itemID="{039313B2-CC8A-4C5C-AF67-C2937E4B41D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786d483-f51b-44bd-b40a-6fe409a5265e}" enabled="0" method="" siteId="{6786d483-f51b-44bd-b40a-6fe409a5265e}" removed="1"/>
  <clbl:label id="{72a4ff82-fec3-469d-aafb-ac8276216699}" enabled="0" method="" siteId="{72a4ff82-fec3-469d-aafb-ac8276216699}" removed="1"/>
  <clbl:label id="{dbb4fa5d-3ac5-4415-967c-34900a0e1c6f}" enabled="1" method="Privileged" siteId="{a629ef32-67ba-47a6-8eb3-ec43935644fc}" removed="0"/>
</clbl:labelList>
</file>

<file path=docProps/app.xml><?xml version="1.0" encoding="utf-8"?>
<Properties xmlns="http://schemas.openxmlformats.org/officeDocument/2006/extended-properties" xmlns:vt="http://schemas.openxmlformats.org/officeDocument/2006/docPropsVTypes">
  <Template>AWG-28 Document Template.dotx</Template>
  <TotalTime>53</TotalTime>
  <Pages>19</Pages>
  <Words>6316</Words>
  <Characters>36007</Characters>
  <Application>Microsoft Office Word</Application>
  <DocSecurity>0</DocSecurity>
  <Lines>300</Lines>
  <Paragraphs>84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34</cp:revision>
  <cp:lastPrinted>2004-07-28T02:14:00Z</cp:lastPrinted>
  <dcterms:created xsi:type="dcterms:W3CDTF">2025-09-10T03:49:00Z</dcterms:created>
  <dcterms:modified xsi:type="dcterms:W3CDTF">2025-09-17T01:12:00Z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0x010100D7F76BF1CADA4947BBD87AD26FA6FCDA</vt:lpwstr>
  </property>
  <property fmtid="{D5CDD505-2E9C-101B-9397-08002B2CF9AE}" pid="3" name="MSIP_Label_dbb4fa5d-3ac5-4415-967c-34900a0e1c6f_Enabled">
    <vt:lpwstr>true</vt:lpwstr>
  </property>
  <property fmtid="{D5CDD505-2E9C-101B-9397-08002B2CF9AE}" pid="4" name="MSIP_Label_dbb4fa5d-3ac5-4415-967c-34900a0e1c6f_SetDate">
    <vt:lpwstr>2024-09-08T02:48:31Z</vt:lpwstr>
  </property>
  <property fmtid="{D5CDD505-2E9C-101B-9397-08002B2CF9AE}" pid="5" name="MSIP_Label_dbb4fa5d-3ac5-4415-967c-34900a0e1c6f_Method">
    <vt:lpwstr>Privileged</vt:lpwstr>
  </property>
  <property fmtid="{D5CDD505-2E9C-101B-9397-08002B2CF9AE}" pid="6" name="MSIP_Label_dbb4fa5d-3ac5-4415-967c-34900a0e1c6f_Name">
    <vt:lpwstr>dbb4fa5d-3ac5-4415-967c-34900a0e1c6f</vt:lpwstr>
  </property>
  <property fmtid="{D5CDD505-2E9C-101B-9397-08002B2CF9AE}" pid="7" name="MSIP_Label_dbb4fa5d-3ac5-4415-967c-34900a0e1c6f_SiteId">
    <vt:lpwstr>a629ef32-67ba-47a6-8eb3-ec43935644fc</vt:lpwstr>
  </property>
  <property fmtid="{D5CDD505-2E9C-101B-9397-08002B2CF9AE}" pid="8" name="MSIP_Label_dbb4fa5d-3ac5-4415-967c-34900a0e1c6f_ActionId">
    <vt:lpwstr>769a57d5-ee9f-4c97-9d13-086a3b2203a5</vt:lpwstr>
  </property>
  <property fmtid="{D5CDD505-2E9C-101B-9397-08002B2CF9AE}" pid="9" name="MSIP_Label_dbb4fa5d-3ac5-4415-967c-34900a0e1c6f_ContentBits">
    <vt:lpwstr>0</vt:lpwstr>
  </property>
</Properties>
</file>