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468288368"/>
        <w:docPartObj>
          <w:docPartGallery w:val="Cover Pages"/>
          <w:docPartUnique/>
        </w:docPartObj>
      </w:sdtPr>
      <w:sdtEndPr>
        <w:rPr>
          <w:b/>
          <w:color w:val="auto"/>
          <w:sz w:val="24"/>
          <w:szCs w:val="24"/>
        </w:rPr>
      </w:sdtEndPr>
      <w:sdtContent>
        <w:p w14:paraId="6DDF1C5B" w14:textId="77452A88" w:rsidR="00BA4AAA" w:rsidRPr="00D42AA0" w:rsidRDefault="00BA4AAA"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716CA674" wp14:editId="0817A2A3">
                    <wp:simplePos x="0" y="0"/>
                    <wp:positionH relativeFrom="column">
                      <wp:posOffset>-907627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9E5C" id="직사각형 72" o:spid="_x0000_s1026" style="position:absolute;left:0;text-align:left;margin-left:-71.4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CHOoSn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234FC945" w14:textId="77777777" w:rsidR="00BA4AAA" w:rsidRPr="00D42AA0" w:rsidRDefault="00BA4AAA" w:rsidP="00383AFF">
          <w:pPr>
            <w:contextualSpacing/>
            <w:rPr>
              <w:sz w:val="28"/>
              <w:szCs w:val="28"/>
            </w:rPr>
          </w:pPr>
        </w:p>
        <w:p w14:paraId="46E9196F" w14:textId="77777777" w:rsidR="00BA4AAA" w:rsidRPr="00D42AA0" w:rsidRDefault="00BA4AAA" w:rsidP="00383AFF">
          <w:pPr>
            <w:contextualSpacing/>
            <w:rPr>
              <w:sz w:val="28"/>
              <w:szCs w:val="28"/>
            </w:rPr>
          </w:pPr>
        </w:p>
        <w:p w14:paraId="77818818" w14:textId="77777777" w:rsidR="00BA4AAA" w:rsidRPr="00D42AA0" w:rsidRDefault="00BA4AAA" w:rsidP="00383AFF">
          <w:pPr>
            <w:contextualSpacing/>
            <w:rPr>
              <w:sz w:val="28"/>
              <w:szCs w:val="28"/>
            </w:rPr>
          </w:pPr>
        </w:p>
        <w:p w14:paraId="3F4EF994" w14:textId="77777777" w:rsidR="00BA4AAA" w:rsidRPr="00D42AA0" w:rsidRDefault="00BA4AAA" w:rsidP="00383AFF">
          <w:pPr>
            <w:contextualSpacing/>
            <w:rPr>
              <w:sz w:val="28"/>
              <w:szCs w:val="28"/>
            </w:rPr>
          </w:pPr>
        </w:p>
        <w:p w14:paraId="53C97C27" w14:textId="77777777" w:rsidR="00BA4AAA" w:rsidRPr="00D42AA0" w:rsidRDefault="00BA4AAA" w:rsidP="00383AFF">
          <w:pPr>
            <w:ind w:firstLineChars="100" w:firstLine="280"/>
            <w:contextualSpacing/>
            <w:rPr>
              <w:sz w:val="28"/>
              <w:szCs w:val="28"/>
            </w:rPr>
          </w:pPr>
        </w:p>
        <w:p w14:paraId="73ACD8C1" w14:textId="77777777" w:rsidR="00BA4AAA" w:rsidRPr="00D42AA0" w:rsidRDefault="00BA4AAA" w:rsidP="00383AFF">
          <w:pPr>
            <w:contextualSpacing/>
            <w:rPr>
              <w:sz w:val="28"/>
              <w:szCs w:val="28"/>
            </w:rPr>
          </w:pPr>
        </w:p>
        <w:p w14:paraId="4904563B" w14:textId="77777777" w:rsidR="00BA4AAA" w:rsidRPr="00D42AA0" w:rsidRDefault="00BA4AAA" w:rsidP="00383AFF">
          <w:pPr>
            <w:contextualSpacing/>
            <w:rPr>
              <w:sz w:val="28"/>
              <w:szCs w:val="28"/>
            </w:rPr>
          </w:pPr>
        </w:p>
        <w:p w14:paraId="466CE17C" w14:textId="77777777" w:rsidR="00BA4AAA" w:rsidRDefault="00BA4AAA" w:rsidP="00383AFF">
          <w:pPr>
            <w:contextualSpacing/>
          </w:pPr>
          <w:r w:rsidRPr="003F118A">
            <w:rPr>
              <w:b/>
              <w:bCs/>
              <w:noProof/>
            </w:rPr>
            <w:drawing>
              <wp:inline distT="0" distB="0" distL="0" distR="0" wp14:anchorId="13923F74" wp14:editId="6C990919">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A1339E5" w14:textId="77777777" w:rsidR="00BA4AAA" w:rsidRPr="00D42AA0" w:rsidRDefault="00BA4AAA" w:rsidP="00383AFF">
          <w:pPr>
            <w:spacing w:line="276" w:lineRule="auto"/>
            <w:contextualSpacing/>
            <w:rPr>
              <w:sz w:val="28"/>
              <w:szCs w:val="28"/>
            </w:rPr>
          </w:pPr>
        </w:p>
        <w:p w14:paraId="2EA0FCF4" w14:textId="77777777" w:rsidR="00BA4AAA" w:rsidRPr="00D42AA0" w:rsidRDefault="00BA4AAA" w:rsidP="00383AFF">
          <w:pPr>
            <w:spacing w:line="276" w:lineRule="auto"/>
            <w:contextualSpacing/>
            <w:rPr>
              <w:sz w:val="28"/>
              <w:szCs w:val="28"/>
            </w:rPr>
          </w:pPr>
        </w:p>
        <w:p w14:paraId="7114F2A8" w14:textId="77777777" w:rsidR="00BA4AAA" w:rsidRPr="00DB137F" w:rsidRDefault="00BA4AAA" w:rsidP="00383AFF">
          <w:pPr>
            <w:spacing w:line="276" w:lineRule="auto"/>
            <w:contextualSpacing/>
            <w:rPr>
              <w:b/>
              <w:bCs/>
              <w:sz w:val="44"/>
              <w:szCs w:val="44"/>
            </w:rPr>
          </w:pPr>
          <w:r w:rsidRPr="00DB137F">
            <w:rPr>
              <w:b/>
              <w:bCs/>
              <w:sz w:val="44"/>
              <w:szCs w:val="44"/>
            </w:rPr>
            <w:t>APT REPORT ON</w:t>
          </w:r>
        </w:p>
        <w:p w14:paraId="4BAE04F3" w14:textId="77777777" w:rsidR="00BA4AAA" w:rsidRPr="00DB137F" w:rsidRDefault="00BA4AAA" w:rsidP="00383AFF">
          <w:pPr>
            <w:spacing w:line="276" w:lineRule="auto"/>
            <w:contextualSpacing/>
            <w:rPr>
              <w:sz w:val="28"/>
              <w:szCs w:val="28"/>
            </w:rPr>
          </w:pPr>
        </w:p>
        <w:p w14:paraId="6E00CA19" w14:textId="1A642EAC" w:rsidR="00BA4AAA" w:rsidRPr="00EB41A7" w:rsidRDefault="00BA4AAA" w:rsidP="00EB41A7">
          <w:pPr>
            <w:spacing w:line="276" w:lineRule="auto"/>
            <w:contextualSpacing/>
            <w:rPr>
              <w:b/>
              <w:bCs/>
              <w:spacing w:val="-4"/>
              <w:sz w:val="30"/>
              <w:szCs w:val="30"/>
            </w:rPr>
          </w:pPr>
          <w:r w:rsidRPr="00EB41A7">
            <w:rPr>
              <w:rFonts w:hint="eastAsia"/>
              <w:b/>
              <w:bCs/>
              <w:spacing w:val="-4"/>
              <w:sz w:val="30"/>
              <w:szCs w:val="30"/>
              <w:lang w:eastAsia="ko-KR"/>
            </w:rPr>
            <w:t>F</w:t>
          </w:r>
          <w:r w:rsidRPr="00EB41A7">
            <w:rPr>
              <w:b/>
              <w:bCs/>
              <w:spacing w:val="-4"/>
              <w:sz w:val="30"/>
              <w:szCs w:val="30"/>
            </w:rPr>
            <w:t xml:space="preserve">REQUENCY ARRANGEMENTS FOR TERRESTRIAL IMT IN FREQUENCY BANDS 1920 – 2010 AND 2110 – 2200 MHZ </w:t>
          </w:r>
        </w:p>
        <w:p w14:paraId="2F560989" w14:textId="77777777" w:rsidR="00BA4AAA" w:rsidRPr="00DB137F" w:rsidRDefault="00BA4AAA" w:rsidP="00383AFF">
          <w:pPr>
            <w:spacing w:line="276" w:lineRule="auto"/>
            <w:contextualSpacing/>
            <w:rPr>
              <w:sz w:val="28"/>
              <w:szCs w:val="28"/>
            </w:rPr>
          </w:pPr>
        </w:p>
        <w:p w14:paraId="12B88857" w14:textId="77777777" w:rsidR="00BA4AAA" w:rsidRPr="00DB137F" w:rsidRDefault="00BA4AAA" w:rsidP="00383AFF">
          <w:pPr>
            <w:spacing w:line="276" w:lineRule="auto"/>
            <w:contextualSpacing/>
            <w:rPr>
              <w:sz w:val="28"/>
              <w:szCs w:val="28"/>
            </w:rPr>
          </w:pPr>
        </w:p>
        <w:p w14:paraId="4C533497" w14:textId="77777777" w:rsidR="00BA4AAA" w:rsidRPr="00DB137F" w:rsidRDefault="00BA4AAA" w:rsidP="00383AFF">
          <w:pPr>
            <w:spacing w:line="276" w:lineRule="auto"/>
            <w:contextualSpacing/>
            <w:rPr>
              <w:sz w:val="28"/>
              <w:szCs w:val="28"/>
            </w:rPr>
          </w:pPr>
        </w:p>
        <w:p w14:paraId="2F156D88" w14:textId="01F4156A" w:rsidR="00BA4AAA" w:rsidRPr="00BE4E3C" w:rsidRDefault="00BA4AAA"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2022</w:t>
          </w:r>
        </w:p>
        <w:p w14:paraId="6417CABA" w14:textId="77777777" w:rsidR="00BA4AAA" w:rsidRPr="00BE4E3C" w:rsidRDefault="00BA4AAA" w:rsidP="00383AFF">
          <w:pPr>
            <w:spacing w:line="276" w:lineRule="auto"/>
            <w:contextualSpacing/>
            <w:rPr>
              <w:bCs/>
              <w:sz w:val="28"/>
              <w:szCs w:val="28"/>
            </w:rPr>
          </w:pPr>
        </w:p>
        <w:p w14:paraId="7FC936FB" w14:textId="77777777" w:rsidR="00BA4AAA" w:rsidRDefault="00BA4AAA" w:rsidP="00383AFF">
          <w:pPr>
            <w:spacing w:line="276" w:lineRule="auto"/>
            <w:contextualSpacing/>
            <w:rPr>
              <w:bCs/>
              <w:sz w:val="28"/>
              <w:szCs w:val="28"/>
            </w:rPr>
          </w:pPr>
        </w:p>
        <w:p w14:paraId="654F2D39" w14:textId="77777777" w:rsidR="00BA4AAA" w:rsidRPr="00BE4E3C" w:rsidRDefault="00BA4AAA" w:rsidP="00383AFF">
          <w:pPr>
            <w:spacing w:line="276" w:lineRule="auto"/>
            <w:contextualSpacing/>
            <w:rPr>
              <w:bCs/>
              <w:sz w:val="28"/>
              <w:szCs w:val="28"/>
            </w:rPr>
          </w:pPr>
        </w:p>
        <w:p w14:paraId="2986CF3B" w14:textId="25CB8DAC" w:rsidR="00BA4AAA" w:rsidRPr="00BE4E3C" w:rsidRDefault="00BA4AAA" w:rsidP="00383AFF">
          <w:pPr>
            <w:spacing w:line="276" w:lineRule="auto"/>
            <w:contextualSpacing/>
            <w:rPr>
              <w:b/>
              <w:sz w:val="28"/>
              <w:szCs w:val="28"/>
            </w:rPr>
          </w:pPr>
          <w:r w:rsidRPr="00BE4E3C">
            <w:rPr>
              <w:b/>
              <w:iCs/>
              <w:sz w:val="28"/>
              <w:szCs w:val="28"/>
            </w:rPr>
            <w:t>The 3</w:t>
          </w:r>
          <w:r>
            <w:rPr>
              <w:b/>
              <w:iCs/>
              <w:sz w:val="28"/>
              <w:szCs w:val="28"/>
            </w:rPr>
            <w:t>0</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3AED59FE" w14:textId="3015C3E6" w:rsidR="00BA4AAA" w:rsidRDefault="00BA4AAA" w:rsidP="00383AFF">
          <w:pPr>
            <w:spacing w:line="276" w:lineRule="auto"/>
            <w:contextualSpacing/>
            <w:rPr>
              <w:b/>
              <w:sz w:val="28"/>
              <w:szCs w:val="28"/>
            </w:rPr>
          </w:pPr>
          <w:r>
            <w:rPr>
              <w:b/>
              <w:sz w:val="28"/>
              <w:szCs w:val="28"/>
            </w:rPr>
            <w:t>5</w:t>
          </w:r>
          <w:r w:rsidRPr="00BE4E3C">
            <w:rPr>
              <w:b/>
              <w:sz w:val="28"/>
              <w:szCs w:val="28"/>
            </w:rPr>
            <w:t xml:space="preserve"> – </w:t>
          </w:r>
          <w:r>
            <w:rPr>
              <w:b/>
              <w:sz w:val="28"/>
              <w:szCs w:val="28"/>
            </w:rPr>
            <w:t>9</w:t>
          </w:r>
          <w:r w:rsidRPr="00BE4E3C">
            <w:rPr>
              <w:b/>
              <w:sz w:val="28"/>
              <w:szCs w:val="28"/>
            </w:rPr>
            <w:t xml:space="preserve"> </w:t>
          </w:r>
          <w:r>
            <w:rPr>
              <w:b/>
              <w:sz w:val="28"/>
              <w:szCs w:val="28"/>
            </w:rPr>
            <w:t>September</w:t>
          </w:r>
          <w:r w:rsidRPr="00BE4E3C">
            <w:rPr>
              <w:b/>
              <w:sz w:val="28"/>
              <w:szCs w:val="28"/>
            </w:rPr>
            <w:t xml:space="preserve"> 2022</w:t>
          </w:r>
        </w:p>
        <w:p w14:paraId="4E092B78" w14:textId="1CF3A6A6" w:rsidR="00BA4AAA" w:rsidRPr="00BA4AAA" w:rsidRDefault="00BA4AAA" w:rsidP="00383AFF">
          <w:pPr>
            <w:spacing w:line="276" w:lineRule="auto"/>
            <w:contextualSpacing/>
            <w:rPr>
              <w:b/>
              <w:sz w:val="28"/>
              <w:szCs w:val="28"/>
              <w:lang w:eastAsia="ko-KR"/>
            </w:rPr>
          </w:pPr>
          <w:r>
            <w:rPr>
              <w:rFonts w:hint="eastAsia"/>
              <w:b/>
              <w:sz w:val="28"/>
              <w:szCs w:val="28"/>
              <w:lang w:eastAsia="ko-KR"/>
            </w:rPr>
            <w:t>B</w:t>
          </w:r>
          <w:r>
            <w:rPr>
              <w:b/>
              <w:sz w:val="28"/>
              <w:szCs w:val="28"/>
              <w:lang w:eastAsia="ko-KR"/>
            </w:rPr>
            <w:t>angkok, Thailand</w:t>
          </w:r>
        </w:p>
        <w:p w14:paraId="3EA23F30" w14:textId="77777777" w:rsidR="00BA4AAA" w:rsidRDefault="00BA4AAA" w:rsidP="00383AFF">
          <w:pPr>
            <w:spacing w:line="276" w:lineRule="auto"/>
            <w:contextualSpacing/>
            <w:rPr>
              <w:color w:val="FF0000"/>
              <w:sz w:val="28"/>
              <w:szCs w:val="28"/>
            </w:rPr>
          </w:pPr>
        </w:p>
        <w:p w14:paraId="715EED13" w14:textId="554A5F0C" w:rsidR="00BA4AAA" w:rsidRPr="00F20599" w:rsidRDefault="00F20599" w:rsidP="00383AFF">
          <w:pPr>
            <w:spacing w:line="276" w:lineRule="auto"/>
            <w:rPr>
              <w:rFonts w:eastAsia="맑은 고딕" w:hint="eastAsia"/>
              <w:b/>
              <w:bCs/>
              <w:i/>
              <w:iCs/>
              <w:sz w:val="28"/>
              <w:szCs w:val="28"/>
              <w:lang w:eastAsia="ko-KR"/>
            </w:rPr>
          </w:pPr>
          <w:r>
            <w:rPr>
              <w:rFonts w:eastAsia="맑은 고딕"/>
              <w:b/>
              <w:bCs/>
              <w:i/>
              <w:iCs/>
              <w:sz w:val="28"/>
              <w:szCs w:val="28"/>
              <w:lang w:eastAsia="ko-KR"/>
            </w:rPr>
            <w:t>(Source: AWG-</w:t>
          </w:r>
          <w:r>
            <w:rPr>
              <w:rFonts w:eastAsia="맑은 고딕"/>
              <w:b/>
              <w:bCs/>
              <w:i/>
              <w:iCs/>
              <w:sz w:val="28"/>
              <w:szCs w:val="28"/>
              <w:lang w:eastAsia="ko-KR"/>
            </w:rPr>
            <w:t>30</w:t>
          </w:r>
          <w:r>
            <w:rPr>
              <w:rFonts w:eastAsia="맑은 고딕"/>
              <w:b/>
              <w:bCs/>
              <w:i/>
              <w:iCs/>
              <w:sz w:val="28"/>
              <w:szCs w:val="28"/>
              <w:lang w:eastAsia="ko-KR"/>
            </w:rPr>
            <w:t>/OUT-1</w:t>
          </w:r>
          <w:r>
            <w:rPr>
              <w:rFonts w:eastAsia="맑은 고딕"/>
              <w:b/>
              <w:bCs/>
              <w:i/>
              <w:iCs/>
              <w:sz w:val="28"/>
              <w:szCs w:val="28"/>
              <w:lang w:eastAsia="ko-KR"/>
            </w:rPr>
            <w:t>5</w:t>
          </w:r>
          <w:r>
            <w:rPr>
              <w:rFonts w:eastAsia="맑은 고딕"/>
              <w:b/>
              <w:bCs/>
              <w:i/>
              <w:iCs/>
              <w:sz w:val="28"/>
              <w:szCs w:val="28"/>
              <w:lang w:eastAsia="ko-KR"/>
            </w:rPr>
            <w:t>)</w:t>
          </w:r>
        </w:p>
        <w:p w14:paraId="61B9ED88" w14:textId="77777777" w:rsidR="00BA4AAA" w:rsidRDefault="00BA4AAA" w:rsidP="00383AFF">
          <w:pPr>
            <w:spacing w:line="276" w:lineRule="auto"/>
            <w:contextualSpacing/>
            <w:rPr>
              <w:color w:val="FF0000"/>
              <w:sz w:val="28"/>
              <w:szCs w:val="28"/>
            </w:rPr>
          </w:pPr>
        </w:p>
        <w:p w14:paraId="34DA6F85" w14:textId="77777777" w:rsidR="00BA4AAA" w:rsidRDefault="00BA4AAA" w:rsidP="00383AFF">
          <w:pPr>
            <w:spacing w:line="276" w:lineRule="auto"/>
            <w:contextualSpacing/>
            <w:rPr>
              <w:color w:val="FF0000"/>
              <w:sz w:val="28"/>
              <w:szCs w:val="28"/>
            </w:rPr>
          </w:pPr>
        </w:p>
        <w:p w14:paraId="3AF5177C" w14:textId="77777777" w:rsidR="00BA4AAA" w:rsidRDefault="00BA4AAA" w:rsidP="00383AFF">
          <w:pPr>
            <w:spacing w:line="276" w:lineRule="auto"/>
            <w:contextualSpacing/>
            <w:rPr>
              <w:color w:val="FF0000"/>
              <w:sz w:val="28"/>
              <w:szCs w:val="28"/>
            </w:rPr>
          </w:pPr>
        </w:p>
        <w:p w14:paraId="6792C58A" w14:textId="77777777" w:rsidR="00BA4AAA" w:rsidRDefault="00BA4AAA" w:rsidP="00383AFF">
          <w:pPr>
            <w:spacing w:line="276" w:lineRule="auto"/>
            <w:contextualSpacing/>
            <w:rPr>
              <w:color w:val="FF0000"/>
              <w:sz w:val="28"/>
              <w:szCs w:val="28"/>
            </w:rPr>
          </w:pPr>
        </w:p>
        <w:p w14:paraId="04B122A4" w14:textId="77777777" w:rsidR="00BA4AAA" w:rsidRDefault="00BA4AAA" w:rsidP="00383AFF">
          <w:pPr>
            <w:spacing w:line="276" w:lineRule="auto"/>
            <w:contextualSpacing/>
            <w:rPr>
              <w:color w:val="FF0000"/>
              <w:sz w:val="28"/>
              <w:szCs w:val="28"/>
            </w:rPr>
          </w:pPr>
        </w:p>
        <w:p w14:paraId="1A8AA973" w14:textId="77777777" w:rsidR="00BA4AAA" w:rsidRDefault="00BA4AAA" w:rsidP="00383AFF">
          <w:pPr>
            <w:spacing w:line="276" w:lineRule="auto"/>
            <w:contextualSpacing/>
            <w:rPr>
              <w:color w:val="FF0000"/>
              <w:sz w:val="28"/>
              <w:szCs w:val="28"/>
            </w:rPr>
          </w:pPr>
        </w:p>
        <w:p w14:paraId="54935946" w14:textId="77777777" w:rsidR="00BA4AAA" w:rsidRDefault="00BA4AAA" w:rsidP="00383AFF">
          <w:pPr>
            <w:spacing w:line="276" w:lineRule="auto"/>
            <w:contextualSpacing/>
            <w:rPr>
              <w:color w:val="FF0000"/>
              <w:sz w:val="28"/>
              <w:szCs w:val="28"/>
            </w:rPr>
          </w:pPr>
        </w:p>
        <w:p w14:paraId="33D4AA9F" w14:textId="77777777" w:rsidR="00BA4AAA" w:rsidRDefault="00BA4AAA" w:rsidP="00383AFF">
          <w:pPr>
            <w:spacing w:line="276" w:lineRule="auto"/>
            <w:contextualSpacing/>
            <w:rPr>
              <w:color w:val="FF0000"/>
              <w:sz w:val="28"/>
              <w:szCs w:val="28"/>
            </w:rPr>
          </w:pPr>
        </w:p>
        <w:p w14:paraId="31664FF6" w14:textId="470B5EBC" w:rsidR="00A63A0D" w:rsidRPr="00EB41A7" w:rsidRDefault="00BA4AAA" w:rsidP="00EB41A7">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45FEFA9E" wp14:editId="7C20F33C">
                    <wp:simplePos x="0" y="0"/>
                    <wp:positionH relativeFrom="column">
                      <wp:posOffset>4394200</wp:posOffset>
                    </wp:positionH>
                    <wp:positionV relativeFrom="paragraph">
                      <wp:posOffset>205740</wp:posOffset>
                    </wp:positionV>
                    <wp:extent cx="217487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74875" cy="381000"/>
                            </a:xfrm>
                            <a:prstGeom prst="rect">
                              <a:avLst/>
                            </a:prstGeom>
                            <a:noFill/>
                            <a:ln w="6350">
                              <a:noFill/>
                            </a:ln>
                          </wps:spPr>
                          <wps:txbx>
                            <w:txbxContent>
                              <w:p w14:paraId="35069340" w14:textId="71058242" w:rsidR="00BA4AAA" w:rsidRPr="00EB41A7" w:rsidRDefault="00BA4AAA" w:rsidP="00BA4AAA">
                                <w:pPr>
                                  <w:rPr>
                                    <w:b/>
                                    <w:bCs/>
                                    <w:spacing w:val="4"/>
                                    <w:sz w:val="28"/>
                                    <w:szCs w:val="28"/>
                                  </w:rPr>
                                </w:pPr>
                                <w:r w:rsidRPr="00EB41A7">
                                  <w:rPr>
                                    <w:b/>
                                    <w:bCs/>
                                    <w:spacing w:val="4"/>
                                    <w:sz w:val="28"/>
                                    <w:szCs w:val="28"/>
                                  </w:rPr>
                                  <w:t>No. APT/AWG/REP-124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FEFA9E" id="_x0000_t202" coordsize="21600,21600" o:spt="202" path="m,l,21600r21600,l21600,xe">
                    <v:stroke joinstyle="miter"/>
                    <v:path gradientshapeok="t" o:connecttype="rect"/>
                  </v:shapetype>
                  <v:shape id="Text Box 74" o:spid="_x0000_s1026" type="#_x0000_t202" style="position:absolute;margin-left:346pt;margin-top:16.2pt;width:171.2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" filled="f" stroked="f" strokeweight=".5pt">
                    <v:textbox>
                      <w:txbxContent>
                        <w:p w14:paraId="35069340" w14:textId="71058242" w:rsidR="00BA4AAA" w:rsidRPr="00EB41A7" w:rsidRDefault="00BA4AAA" w:rsidP="00BA4AAA">
                          <w:pPr>
                            <w:rPr>
                              <w:b/>
                              <w:bCs/>
                              <w:spacing w:val="4"/>
                              <w:sz w:val="28"/>
                              <w:szCs w:val="28"/>
                            </w:rPr>
                          </w:pPr>
                          <w:r w:rsidRPr="00EB41A7">
                            <w:rPr>
                              <w:b/>
                              <w:bCs/>
                              <w:spacing w:val="4"/>
                              <w:sz w:val="28"/>
                              <w:szCs w:val="28"/>
                            </w:rPr>
                            <w:t>No. APT/AWG/REP-124</w:t>
                          </w:r>
                        </w:p>
                      </w:txbxContent>
                    </v:textbox>
                  </v:shape>
                </w:pict>
              </mc:Fallback>
            </mc:AlternateContent>
          </w:r>
          <w:r>
            <w:rPr>
              <w:b/>
            </w:rPr>
            <w:br w:type="page"/>
          </w:r>
        </w:p>
      </w:sdtContent>
    </w:sdt>
    <w:p w14:paraId="0BF6FC1D" w14:textId="77777777" w:rsidR="00A63A0D" w:rsidRPr="00A63A0D" w:rsidRDefault="00A63A0D" w:rsidP="0080250A">
      <w:pPr>
        <w:rPr>
          <w:rFonts w:cs="Cordia New"/>
          <w:b/>
          <w:bCs/>
          <w:caps/>
          <w:spacing w:val="-4"/>
          <w:szCs w:val="30"/>
          <w:lang w:bidi="th-TH"/>
        </w:rPr>
      </w:pPr>
    </w:p>
    <w:p w14:paraId="1D3294DE" w14:textId="77777777" w:rsidR="00A63A0D" w:rsidRPr="00A63A0D" w:rsidRDefault="00A63A0D" w:rsidP="00A63A0D">
      <w:pPr>
        <w:jc w:val="center"/>
        <w:rPr>
          <w:rFonts w:cs="Cordia New"/>
          <w:b/>
          <w:bCs/>
          <w:caps/>
          <w:spacing w:val="-4"/>
          <w:szCs w:val="30"/>
          <w:lang w:val="en-GB" w:bidi="th-TH"/>
        </w:rPr>
      </w:pPr>
      <w:r w:rsidRPr="00A63A0D">
        <w:rPr>
          <w:rFonts w:cs="Cordia New"/>
          <w:b/>
          <w:bCs/>
          <w:caps/>
          <w:spacing w:val="-4"/>
          <w:szCs w:val="30"/>
          <w:lang w:bidi="th-TH"/>
        </w:rPr>
        <w:t>APT</w:t>
      </w:r>
      <w:r w:rsidRPr="00A63A0D">
        <w:rPr>
          <w:rFonts w:cs="Cordia New"/>
          <w:b/>
          <w:bCs/>
          <w:caps/>
          <w:spacing w:val="-4"/>
          <w:szCs w:val="30"/>
          <w:lang w:val="en-GB" w:bidi="th-TH"/>
        </w:rPr>
        <w:t xml:space="preserve"> report on</w:t>
      </w:r>
    </w:p>
    <w:p w14:paraId="318860B2" w14:textId="732A14CA" w:rsidR="00293E96" w:rsidRPr="00A63A0D" w:rsidRDefault="00632B7E" w:rsidP="00A63A0D">
      <w:pPr>
        <w:jc w:val="center"/>
        <w:rPr>
          <w:rFonts w:cs="Cordia New"/>
          <w:b/>
          <w:bCs/>
          <w:caps/>
          <w:spacing w:val="-4"/>
          <w:szCs w:val="30"/>
          <w:lang w:val="en-GB" w:bidi="th-TH"/>
        </w:rPr>
      </w:pPr>
      <w:r w:rsidRPr="00632B7E">
        <w:rPr>
          <w:b/>
          <w:bCs/>
          <w:caps/>
          <w:lang w:val="en-GB"/>
        </w:rPr>
        <w:t>frequency arrangement</w:t>
      </w:r>
      <w:r w:rsidR="00474AA3" w:rsidRPr="00632B7E">
        <w:rPr>
          <w:b/>
          <w:bCs/>
          <w:caps/>
          <w:lang w:val="en-GB"/>
        </w:rPr>
        <w:t>s</w:t>
      </w:r>
      <w:r w:rsidR="00293E96" w:rsidRPr="00632B7E">
        <w:rPr>
          <w:b/>
          <w:bCs/>
          <w:caps/>
          <w:lang w:val="en-GB"/>
        </w:rPr>
        <w:t xml:space="preserve"> </w:t>
      </w:r>
      <w:r w:rsidRPr="00632B7E">
        <w:rPr>
          <w:b/>
          <w:bCs/>
          <w:caps/>
          <w:lang w:val="en-GB"/>
        </w:rPr>
        <w:t>for</w:t>
      </w:r>
      <w:r w:rsidR="00293E96" w:rsidRPr="00632B7E">
        <w:rPr>
          <w:b/>
          <w:bCs/>
          <w:caps/>
          <w:lang w:val="en-GB"/>
        </w:rPr>
        <w:t xml:space="preserve"> </w:t>
      </w:r>
      <w:r w:rsidR="0096367D">
        <w:rPr>
          <w:b/>
          <w:bCs/>
          <w:caps/>
        </w:rPr>
        <w:t>terrestrial</w:t>
      </w:r>
      <w:r w:rsidR="0096367D" w:rsidRPr="008B7EFB">
        <w:rPr>
          <w:b/>
          <w:bCs/>
          <w:caps/>
        </w:rPr>
        <w:t xml:space="preserve"> IMT </w:t>
      </w:r>
      <w:r w:rsidR="00474AA3" w:rsidRPr="00632B7E">
        <w:rPr>
          <w:b/>
          <w:bCs/>
          <w:caps/>
          <w:lang w:val="en-GB"/>
        </w:rPr>
        <w:t xml:space="preserve">in frequency </w:t>
      </w:r>
      <w:r w:rsidRPr="00632B7E">
        <w:rPr>
          <w:b/>
          <w:bCs/>
          <w:caps/>
          <w:lang w:val="en-GB"/>
        </w:rPr>
        <w:t>band</w:t>
      </w:r>
      <w:r w:rsidR="0096367D">
        <w:rPr>
          <w:b/>
          <w:bCs/>
          <w:caps/>
          <w:lang w:val="en-GB"/>
        </w:rPr>
        <w:t>s</w:t>
      </w:r>
      <w:r w:rsidR="00293E96" w:rsidRPr="00632B7E">
        <w:rPr>
          <w:b/>
          <w:bCs/>
          <w:caps/>
          <w:lang w:val="en-GB"/>
        </w:rPr>
        <w:t xml:space="preserve"> </w:t>
      </w:r>
      <w:r w:rsidR="0096367D">
        <w:rPr>
          <w:b/>
          <w:bCs/>
          <w:caps/>
        </w:rPr>
        <w:t xml:space="preserve">1920 – 2010 and 2110 - 2200 </w:t>
      </w:r>
      <w:r w:rsidR="00293E96" w:rsidRPr="00632B7E">
        <w:rPr>
          <w:b/>
          <w:bCs/>
          <w:caps/>
          <w:lang w:val="en-GB"/>
        </w:rPr>
        <w:t>MHz</w:t>
      </w:r>
    </w:p>
    <w:p w14:paraId="57F2526C" w14:textId="77777777" w:rsidR="00A80417" w:rsidRDefault="00A80417" w:rsidP="00293E96">
      <w:pPr>
        <w:jc w:val="center"/>
        <w:rPr>
          <w:b/>
          <w:bCs/>
          <w:caps/>
          <w:lang w:val="en-GB"/>
        </w:rPr>
      </w:pPr>
    </w:p>
    <w:p w14:paraId="3E5535F8" w14:textId="77777777" w:rsidR="0096367D" w:rsidRPr="006C1370" w:rsidRDefault="0096367D" w:rsidP="0096367D">
      <w:pPr>
        <w:pStyle w:val="Heading1"/>
        <w:keepLines/>
        <w:tabs>
          <w:tab w:val="left" w:pos="794"/>
          <w:tab w:val="left" w:pos="1191"/>
          <w:tab w:val="left" w:pos="1588"/>
          <w:tab w:val="left" w:pos="1985"/>
        </w:tabs>
        <w:overflowPunct w:val="0"/>
        <w:autoSpaceDE w:val="0"/>
        <w:autoSpaceDN w:val="0"/>
        <w:adjustRightInd w:val="0"/>
        <w:spacing w:before="240"/>
        <w:ind w:left="432" w:hanging="432"/>
        <w:jc w:val="both"/>
        <w:textAlignment w:val="baseline"/>
        <w:rPr>
          <w:rFonts w:eastAsia="맑은 고딕"/>
          <w:bCs w:val="0"/>
          <w:szCs w:val="20"/>
          <w:u w:val="none"/>
          <w:lang w:eastAsia="ko-KR"/>
        </w:rPr>
      </w:pPr>
      <w:r w:rsidRPr="006C1370">
        <w:rPr>
          <w:rFonts w:eastAsia="맑은 고딕"/>
          <w:bCs w:val="0"/>
          <w:szCs w:val="20"/>
          <w:u w:val="none"/>
          <w:lang w:eastAsia="ko-KR"/>
        </w:rPr>
        <w:t>1</w:t>
      </w:r>
      <w:r w:rsidRPr="006C1370">
        <w:rPr>
          <w:rFonts w:eastAsia="맑은 고딕"/>
          <w:bCs w:val="0"/>
          <w:szCs w:val="20"/>
          <w:u w:val="none"/>
          <w:lang w:eastAsia="ko-KR"/>
        </w:rPr>
        <w:tab/>
      </w:r>
      <w:r>
        <w:rPr>
          <w:rFonts w:eastAsia="맑은 고딕"/>
          <w:bCs w:val="0"/>
          <w:szCs w:val="20"/>
          <w:u w:val="none"/>
        </w:rPr>
        <w:t>Background</w:t>
      </w:r>
      <w:r w:rsidRPr="006C1370">
        <w:rPr>
          <w:rFonts w:eastAsia="맑은 고딕"/>
          <w:bCs w:val="0"/>
          <w:szCs w:val="20"/>
          <w:u w:val="none"/>
        </w:rPr>
        <w:t xml:space="preserve"> </w:t>
      </w:r>
    </w:p>
    <w:p w14:paraId="660435B8" w14:textId="77777777" w:rsidR="0096367D" w:rsidRDefault="0096367D" w:rsidP="0096367D"/>
    <w:p w14:paraId="4A8DD0C0" w14:textId="77777777" w:rsidR="0096367D" w:rsidRDefault="0096367D" w:rsidP="0096367D">
      <w:pPr>
        <w:snapToGrid w:val="0"/>
        <w:spacing w:before="120" w:after="120"/>
        <w:jc w:val="both"/>
      </w:pPr>
      <w:r>
        <w:t xml:space="preserve">The </w:t>
      </w:r>
      <w:r w:rsidRPr="0067056A">
        <w:t xml:space="preserve">World Administrative Radio Conference </w:t>
      </w:r>
      <w:r>
        <w:t xml:space="preserve">1992, held in </w:t>
      </w:r>
      <w:r w:rsidRPr="0067056A">
        <w:t xml:space="preserve">Málaga-Torremolinos </w:t>
      </w:r>
      <w:r>
        <w:t xml:space="preserve">(WARC-92),  decided in footnote 746A that frequency bands of </w:t>
      </w:r>
      <w:r w:rsidRPr="00E72FA4">
        <w:t>1 920-2 010 MH</w:t>
      </w:r>
      <w:r>
        <w:t>z and</w:t>
      </w:r>
      <w:r w:rsidRPr="00E72FA4">
        <w:t xml:space="preserve"> 2 110-2 200 MH</w:t>
      </w:r>
      <w:r>
        <w:t xml:space="preserve">z are intended for use, on a worldwide basis, by administrations wishing to implement the Future Public Land Mobile Telecommunication Systems (FPLMTS). </w:t>
      </w:r>
    </w:p>
    <w:p w14:paraId="3D8E27B9" w14:textId="77777777" w:rsidR="0096367D" w:rsidRDefault="0096367D" w:rsidP="0096367D">
      <w:pPr>
        <w:snapToGrid w:val="0"/>
        <w:spacing w:before="120" w:after="120"/>
        <w:ind w:left="720"/>
        <w:jc w:val="both"/>
      </w:pPr>
      <w:r>
        <w:rPr>
          <w:noProof/>
          <w:lang w:eastAsia="zh-CN"/>
        </w:rPr>
        <w:drawing>
          <wp:inline distT="0" distB="0" distL="0" distR="0" wp14:anchorId="5B4C61EE" wp14:editId="1C55E0C6">
            <wp:extent cx="5433695" cy="103505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3695" cy="1035050"/>
                    </a:xfrm>
                    <a:prstGeom prst="rect">
                      <a:avLst/>
                    </a:prstGeom>
                  </pic:spPr>
                </pic:pic>
              </a:graphicData>
            </a:graphic>
          </wp:inline>
        </w:drawing>
      </w:r>
    </w:p>
    <w:p w14:paraId="1196B31C" w14:textId="4085EF70" w:rsidR="0096367D" w:rsidRDefault="0096367D" w:rsidP="0096367D">
      <w:pPr>
        <w:snapToGrid w:val="0"/>
        <w:spacing w:before="120" w:after="120"/>
        <w:jc w:val="both"/>
      </w:pPr>
      <w:r>
        <w:t>The abbreviation of FPLMTS was later changed to International Mobile Telecommunications (IMT) and today the footnote in question in the ITU Radio Regulations (2020) is changed to</w:t>
      </w:r>
      <w:r w:rsidR="006C6E17">
        <w:t>:</w:t>
      </w:r>
    </w:p>
    <w:p w14:paraId="5D61F6E9" w14:textId="77777777" w:rsidR="0096367D" w:rsidRPr="00475DD9" w:rsidRDefault="0096367D" w:rsidP="0096367D">
      <w:pPr>
        <w:pStyle w:val="FootnoteText"/>
        <w:ind w:left="720"/>
      </w:pPr>
      <w:r w:rsidRPr="002031F0">
        <w:rPr>
          <w:rStyle w:val="Artdef"/>
        </w:rPr>
        <w:t>5.388</w:t>
      </w:r>
      <w:r w:rsidRPr="009F6AF2">
        <w:rPr>
          <w:b/>
        </w:rPr>
        <w:tab/>
      </w:r>
      <w:r>
        <w:rPr>
          <w:b/>
        </w:rPr>
        <w:t xml:space="preserve">   </w:t>
      </w:r>
      <w:r w:rsidRPr="009F6AF2">
        <w:t>The</w:t>
      </w:r>
      <w:r>
        <w:t xml:space="preserve"> frequency</w:t>
      </w:r>
      <w:r w:rsidRPr="009F6AF2">
        <w:t xml:space="preserve"> bands 1 885-2 025</w:t>
      </w:r>
      <w:r>
        <w:t> MHz</w:t>
      </w:r>
      <w:r w:rsidRPr="009F6AF2">
        <w:t xml:space="preserve"> and 2 110-2 200</w:t>
      </w:r>
      <w:r>
        <w:t> MHz</w:t>
      </w:r>
      <w:r w:rsidRPr="009F6AF2">
        <w:t xml:space="preserve"> are intended for use, on a worldwide basis, by administrations wishing to implement International Mobile Telecommunications (IMT). Such use does not preclude the use of these </w:t>
      </w:r>
      <w:r>
        <w:t>frequency</w:t>
      </w:r>
      <w:r w:rsidRPr="009F6AF2">
        <w:t xml:space="preserve"> bands by other services to which they are allocated. The </w:t>
      </w:r>
      <w:r>
        <w:t>frequency</w:t>
      </w:r>
      <w:r w:rsidRPr="009F6AF2">
        <w:t xml:space="preserve"> bands should be made available for IMT in accordance with Resolution </w:t>
      </w:r>
      <w:r w:rsidRPr="009F6AF2">
        <w:rPr>
          <w:b/>
          <w:bCs/>
        </w:rPr>
        <w:t>212 (Rev.WRC</w:t>
      </w:r>
      <w:r w:rsidRPr="009F6AF2">
        <w:rPr>
          <w:b/>
          <w:bCs/>
        </w:rPr>
        <w:noBreakHyphen/>
        <w:t>15)</w:t>
      </w:r>
      <w:r w:rsidRPr="00952192">
        <w:rPr>
          <w:rStyle w:val="FootnoteReference"/>
        </w:rPr>
        <w:t>*</w:t>
      </w:r>
      <w:r w:rsidRPr="009F6AF2">
        <w:t xml:space="preserve"> (</w:t>
      </w:r>
      <w:r>
        <w:t>s</w:t>
      </w:r>
      <w:r w:rsidRPr="009F6AF2">
        <w:t>ee also Resolution</w:t>
      </w:r>
      <w:r>
        <w:t xml:space="preserve"> </w:t>
      </w:r>
      <w:r w:rsidRPr="009F6AF2">
        <w:rPr>
          <w:b/>
          <w:bCs/>
        </w:rPr>
        <w:t>223</w:t>
      </w:r>
      <w:r>
        <w:rPr>
          <w:b/>
          <w:bCs/>
        </w:rPr>
        <w:t> </w:t>
      </w:r>
      <w:r w:rsidRPr="009F6AF2">
        <w:rPr>
          <w:b/>
          <w:bCs/>
        </w:rPr>
        <w:t>(Rev.WRC</w:t>
      </w:r>
      <w:r w:rsidRPr="009F6AF2">
        <w:rPr>
          <w:b/>
          <w:bCs/>
        </w:rPr>
        <w:noBreakHyphen/>
        <w:t>15)</w:t>
      </w:r>
      <w:r w:rsidRPr="00952192">
        <w:rPr>
          <w:rStyle w:val="FootnoteReference"/>
        </w:rPr>
        <w:t>*</w:t>
      </w:r>
      <w:r w:rsidRPr="009F6AF2">
        <w:t>).</w:t>
      </w:r>
      <w:r>
        <w:rPr>
          <w:sz w:val="16"/>
        </w:rPr>
        <w:t xml:space="preserve">    </w:t>
      </w:r>
      <w:r>
        <w:rPr>
          <w:rStyle w:val="FootnoteReference"/>
        </w:rPr>
        <w:t>*</w:t>
      </w:r>
      <w:r w:rsidRPr="00DC54F9">
        <w:rPr>
          <w:i/>
          <w:iCs/>
        </w:rPr>
        <w:t>Note</w:t>
      </w:r>
      <w:r w:rsidRPr="00DC54F9">
        <w:rPr>
          <w:i/>
          <w:iCs/>
          <w:lang w:val="en-AU"/>
        </w:rPr>
        <w:t xml:space="preserve"> by</w:t>
      </w:r>
      <w:r>
        <w:rPr>
          <w:i/>
          <w:iCs/>
          <w:lang w:val="en-AU"/>
        </w:rPr>
        <w:t xml:space="preserve"> the Secretariat:</w:t>
      </w:r>
      <w:r>
        <w:rPr>
          <w:lang w:val="en-AU"/>
        </w:rPr>
        <w:t>  This Resolution was revised by WRC-19.</w:t>
      </w:r>
    </w:p>
    <w:p w14:paraId="124A3C43" w14:textId="77777777" w:rsidR="0096367D" w:rsidRDefault="0096367D" w:rsidP="0096367D"/>
    <w:p w14:paraId="44F6943B" w14:textId="77777777" w:rsidR="0096367D" w:rsidRDefault="0096367D" w:rsidP="0096367D">
      <w:r>
        <w:t xml:space="preserve">At the WRC-19 and during the revision of the Resolution 212 (Rev. WRC-19) “Implementation of IMT in the frequency bands 1 885-2 025 MHz and 2 110-2 200 MHz” an agreement was made with the addition of the Annex of this Resolution “Guidance on the implementation of technical and operational measures to facilitate coexistence between terrestrial and satellite components of IMT in the frequency bands 1 980-2 010 MHz and 2 170-2 200 MHz”. This Annex provides important advice on the situation when neighbouring countries use different services since the range 1980 – 2010 / 2170 – 2200 MHz (for APT countries / Region 3) is also allocated to Mobile-Satellite service on a primary </w:t>
      </w:r>
      <w:proofErr w:type="gramStart"/>
      <w:r>
        <w:t>basis;</w:t>
      </w:r>
      <w:proofErr w:type="gramEnd"/>
    </w:p>
    <w:p w14:paraId="42A1769F" w14:textId="77777777" w:rsidR="0096367D" w:rsidRDefault="0096367D" w:rsidP="0096367D"/>
    <w:p w14:paraId="47508DC6" w14:textId="77777777" w:rsidR="0096367D" w:rsidRDefault="0096367D" w:rsidP="0096367D">
      <w:pPr>
        <w:ind w:left="720"/>
      </w:pPr>
      <w:r w:rsidRPr="00FC40EB">
        <w:rPr>
          <w:rStyle w:val="Artdef"/>
        </w:rPr>
        <w:t>5.389A</w:t>
      </w:r>
      <w:r>
        <w:rPr>
          <w:rStyle w:val="Artdef"/>
        </w:rPr>
        <w:tab/>
        <w:t xml:space="preserve">     </w:t>
      </w:r>
      <w:r>
        <w:t>The use of the bands 1</w:t>
      </w:r>
      <w:r w:rsidRPr="00EB1F40">
        <w:t> </w:t>
      </w:r>
      <w:r>
        <w:t>980-2</w:t>
      </w:r>
      <w:r w:rsidRPr="00EB1F40">
        <w:t> </w:t>
      </w:r>
      <w:r>
        <w:t>010 MHz and 2</w:t>
      </w:r>
      <w:r w:rsidRPr="00EB1F40">
        <w:t> </w:t>
      </w:r>
      <w:r>
        <w:t>170-2</w:t>
      </w:r>
      <w:r w:rsidRPr="00EB1F40">
        <w:t> </w:t>
      </w:r>
      <w:r>
        <w:t>200 MHz by the mobile-satellite service is subject to coordination und</w:t>
      </w:r>
      <w:r w:rsidRPr="006E4C09">
        <w:t xml:space="preserve">er No. </w:t>
      </w:r>
      <w:r w:rsidRPr="006E4C09">
        <w:rPr>
          <w:rStyle w:val="Artref"/>
          <w:b/>
          <w:bCs/>
          <w:color w:val="auto"/>
        </w:rPr>
        <w:t>9.11A</w:t>
      </w:r>
      <w:r w:rsidRPr="006E4C09">
        <w:t xml:space="preserve"> and to </w:t>
      </w:r>
      <w:r>
        <w:t>the provisions of Resolution </w:t>
      </w:r>
      <w:r w:rsidRPr="00213A5D">
        <w:rPr>
          <w:b/>
          <w:bCs/>
        </w:rPr>
        <w:t>716 (Rev.WRC</w:t>
      </w:r>
      <w:r w:rsidRPr="00213A5D">
        <w:rPr>
          <w:b/>
          <w:bCs/>
        </w:rPr>
        <w:noBreakHyphen/>
        <w:t>2000)</w:t>
      </w:r>
      <w:r>
        <w:rPr>
          <w:rStyle w:val="FootnoteReference"/>
        </w:rPr>
        <w:footnoteReference w:customMarkFollows="1" w:id="1"/>
        <w:t>**</w:t>
      </w:r>
      <w:r>
        <w:t>.</w:t>
      </w:r>
      <w:r>
        <w:rPr>
          <w:sz w:val="16"/>
        </w:rPr>
        <w:t>  </w:t>
      </w:r>
    </w:p>
    <w:p w14:paraId="785BC0DD" w14:textId="77777777" w:rsidR="0096367D" w:rsidRPr="00D948BA" w:rsidRDefault="0096367D" w:rsidP="0096367D">
      <w:pPr>
        <w:pStyle w:val="Default"/>
        <w:widowControl/>
        <w:spacing w:after="120"/>
        <w:jc w:val="both"/>
      </w:pPr>
    </w:p>
    <w:p w14:paraId="7302D99D" w14:textId="77777777" w:rsidR="0096367D" w:rsidRDefault="0096367D" w:rsidP="0096367D">
      <w:pPr>
        <w:snapToGrid w:val="0"/>
        <w:spacing w:before="120" w:after="120"/>
        <w:jc w:val="both"/>
      </w:pPr>
      <w:r>
        <w:t>The Resolution 212</w:t>
      </w:r>
      <w:r w:rsidR="00106546">
        <w:t xml:space="preserve"> (Rev. WRC-19)</w:t>
      </w:r>
      <w:r>
        <w:t>, and its Annex, and Resolution 223</w:t>
      </w:r>
      <w:r w:rsidR="006C6E17">
        <w:t xml:space="preserve"> (Rev. WRC-19)</w:t>
      </w:r>
      <w:r>
        <w:t>, will be further discussed in this Report in Section 6 and are for convenience included as Attachment 1 and Attachment 2.</w:t>
      </w:r>
    </w:p>
    <w:p w14:paraId="4F635BA3" w14:textId="77777777" w:rsidR="0096367D" w:rsidRDefault="0096367D" w:rsidP="0096367D">
      <w:pPr>
        <w:pStyle w:val="Default"/>
        <w:widowControl/>
        <w:spacing w:after="120"/>
        <w:jc w:val="both"/>
      </w:pPr>
      <w:r w:rsidRPr="006C1370">
        <w:rPr>
          <w:lang w:val="en-GB"/>
        </w:rPr>
        <w:t xml:space="preserve">At the </w:t>
      </w:r>
      <w:r>
        <w:rPr>
          <w:lang w:val="en-GB"/>
        </w:rPr>
        <w:t>Radio</w:t>
      </w:r>
      <w:r w:rsidRPr="006C1370">
        <w:rPr>
          <w:lang w:val="en-GB"/>
        </w:rPr>
        <w:t xml:space="preserve">communication Assembly (RA-19) in October 2019, the ITU Recommendation M.1036 revision 6 was approved as “Frequency arrangements for implementation of the </w:t>
      </w:r>
      <w:r w:rsidRPr="006C1370">
        <w:rPr>
          <w:lang w:val="en-GB"/>
        </w:rPr>
        <w:lastRenderedPageBreak/>
        <w:t xml:space="preserve">terrestrial component of International Mobile Telecommunications in the bands identified for IMT in the Radio Regulations” </w:t>
      </w:r>
      <w:r>
        <w:rPr>
          <w:lang w:val="en-GB"/>
        </w:rPr>
        <w:t xml:space="preserve">and it </w:t>
      </w:r>
      <w:r w:rsidRPr="00E07B2B">
        <w:t>recommend</w:t>
      </w:r>
      <w:r>
        <w:t>s</w:t>
      </w:r>
      <w:r w:rsidRPr="00E07B2B">
        <w:t xml:space="preserve"> </w:t>
      </w:r>
      <w:r>
        <w:t xml:space="preserve">the </w:t>
      </w:r>
      <w:r w:rsidRPr="00E07B2B">
        <w:t xml:space="preserve">frequency arrangements for implementation of </w:t>
      </w:r>
      <w:r>
        <w:t>terrestrial mobile communication systems</w:t>
      </w:r>
      <w:r w:rsidRPr="00E07B2B">
        <w:t xml:space="preserve"> in the </w:t>
      </w:r>
      <w:r>
        <w:t>range</w:t>
      </w:r>
      <w:r w:rsidRPr="00E07B2B">
        <w:t xml:space="preserve"> 1 710</w:t>
      </w:r>
      <w:r>
        <w:t>-</w:t>
      </w:r>
      <w:r w:rsidRPr="00E07B2B">
        <w:t>2 200 MHz</w:t>
      </w:r>
      <w:r>
        <w:t>. There are two band plans</w:t>
      </w:r>
      <w:r w:rsidRPr="00DB5387">
        <w:t xml:space="preserve"> </w:t>
      </w:r>
      <w:r>
        <w:t xml:space="preserve">covering the range for this Report for APT countries, </w:t>
      </w:r>
      <w:proofErr w:type="gramStart"/>
      <w:r>
        <w:t>namely;</w:t>
      </w:r>
      <w:proofErr w:type="gramEnd"/>
      <w:r>
        <w:t xml:space="preserve"> B1 for the </w:t>
      </w:r>
      <w:r w:rsidRPr="00DB5387">
        <w:t>band</w:t>
      </w:r>
      <w:r>
        <w:t>s 1920 – 1980 / 2110 – 2170 MHz and B6 for the band 1980 – 2010 / 2170 – 2200 MHz.</w:t>
      </w:r>
      <w:bookmarkStart w:id="0" w:name="OLE_LINK43"/>
      <w:bookmarkStart w:id="1" w:name="OLE_LINK44"/>
      <w:r w:rsidRPr="00C33375">
        <w:t xml:space="preserve"> </w:t>
      </w:r>
      <w:r>
        <w:t>The configuration as described in Recommendation M.1036-6 are shown in Figure 1 and Table 1 below.</w:t>
      </w:r>
    </w:p>
    <w:p w14:paraId="31BF62F1" w14:textId="77777777" w:rsidR="0096367D" w:rsidRDefault="0096367D" w:rsidP="0096367D">
      <w:pPr>
        <w:snapToGrid w:val="0"/>
        <w:spacing w:before="120" w:after="120"/>
        <w:jc w:val="both"/>
      </w:pPr>
    </w:p>
    <w:p w14:paraId="16439284" w14:textId="77777777" w:rsidR="0096367D" w:rsidRPr="0050544F" w:rsidRDefault="0096367D" w:rsidP="0096367D">
      <w:pPr>
        <w:pStyle w:val="TF"/>
        <w:rPr>
          <w:rFonts w:eastAsia="Times New Roman"/>
        </w:rPr>
      </w:pPr>
      <w:r w:rsidRPr="0050544F">
        <w:rPr>
          <w:rFonts w:eastAsia="Times New Roman"/>
        </w:rPr>
        <w:t>Figure 1: The frequency arrangements as shown in Rec M.1036-6</w:t>
      </w:r>
    </w:p>
    <w:p w14:paraId="39589910" w14:textId="77777777" w:rsidR="0096367D" w:rsidRDefault="0096367D" w:rsidP="0096367D">
      <w:pPr>
        <w:snapToGrid w:val="0"/>
        <w:spacing w:before="120" w:after="120"/>
        <w:jc w:val="both"/>
        <w:rPr>
          <w:i/>
          <w:noProof/>
        </w:rPr>
      </w:pPr>
      <w:r w:rsidRPr="00C33375">
        <w:rPr>
          <w:noProof/>
          <w:lang w:eastAsia="zh-CN"/>
        </w:rPr>
        <w:drawing>
          <wp:inline distT="0" distB="0" distL="0" distR="0" wp14:anchorId="259CC254" wp14:editId="09D7E56A">
            <wp:extent cx="5916295" cy="55245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295" cy="552450"/>
                    </a:xfrm>
                    <a:prstGeom prst="rect">
                      <a:avLst/>
                    </a:prstGeom>
                    <a:noFill/>
                    <a:ln>
                      <a:noFill/>
                    </a:ln>
                  </pic:spPr>
                </pic:pic>
              </a:graphicData>
            </a:graphic>
          </wp:inline>
        </w:drawing>
      </w:r>
    </w:p>
    <w:p w14:paraId="16F4BCC1" w14:textId="77777777" w:rsidR="0096367D" w:rsidRDefault="0096367D" w:rsidP="0096367D">
      <w:pPr>
        <w:snapToGrid w:val="0"/>
        <w:spacing w:before="120" w:after="120"/>
        <w:jc w:val="both"/>
        <w:rPr>
          <w:i/>
          <w:noProof/>
        </w:rPr>
      </w:pPr>
    </w:p>
    <w:p w14:paraId="45F9E598" w14:textId="77777777" w:rsidR="0096367D" w:rsidRPr="0050544F" w:rsidRDefault="0096367D" w:rsidP="0096367D">
      <w:pPr>
        <w:pStyle w:val="TF"/>
        <w:rPr>
          <w:rFonts w:eastAsia="Times New Roman"/>
        </w:rPr>
      </w:pPr>
      <w:r w:rsidRPr="0050544F">
        <w:rPr>
          <w:rFonts w:eastAsia="Times New Roman"/>
        </w:rPr>
        <w:t xml:space="preserve">Table 1: The frequency arrangements in Table format as given by Rec. M.1036-6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1558"/>
        <w:gridCol w:w="1175"/>
        <w:gridCol w:w="1313"/>
        <w:gridCol w:w="1134"/>
        <w:gridCol w:w="1417"/>
        <w:gridCol w:w="997"/>
      </w:tblGrid>
      <w:tr w:rsidR="0096367D" w:rsidRPr="007D4FAD" w14:paraId="066B0B49" w14:textId="77777777" w:rsidTr="00F37272">
        <w:trPr>
          <w:jc w:val="center"/>
        </w:trPr>
        <w:tc>
          <w:tcPr>
            <w:tcW w:w="2045" w:type="dxa"/>
            <w:vMerge w:val="restart"/>
            <w:vAlign w:val="center"/>
          </w:tcPr>
          <w:p w14:paraId="1EE9DBE0" w14:textId="77777777" w:rsidR="0096367D" w:rsidRPr="007D4FAD" w:rsidRDefault="0096367D" w:rsidP="00F37272">
            <w:pPr>
              <w:pStyle w:val="Tablehead"/>
              <w:rPr>
                <w:sz w:val="20"/>
              </w:rPr>
            </w:pPr>
            <w:r w:rsidRPr="007D4FAD">
              <w:rPr>
                <w:sz w:val="20"/>
              </w:rPr>
              <w:t xml:space="preserve">Frequency </w:t>
            </w:r>
            <w:r w:rsidRPr="007D4FAD">
              <w:rPr>
                <w:sz w:val="20"/>
              </w:rPr>
              <w:br/>
              <w:t>arrangements</w:t>
            </w:r>
          </w:p>
        </w:tc>
        <w:tc>
          <w:tcPr>
            <w:tcW w:w="5180" w:type="dxa"/>
            <w:gridSpan w:val="4"/>
            <w:vAlign w:val="center"/>
          </w:tcPr>
          <w:p w14:paraId="0CA4EA2F" w14:textId="77777777" w:rsidR="0096367D" w:rsidRPr="007D4FAD" w:rsidRDefault="0096367D" w:rsidP="00F37272">
            <w:pPr>
              <w:pStyle w:val="Tablehead"/>
              <w:rPr>
                <w:sz w:val="20"/>
              </w:rPr>
            </w:pPr>
            <w:r w:rsidRPr="007D4FAD">
              <w:rPr>
                <w:sz w:val="20"/>
              </w:rPr>
              <w:t>Paired arrangements (FDD)</w:t>
            </w:r>
          </w:p>
        </w:tc>
        <w:tc>
          <w:tcPr>
            <w:tcW w:w="1417" w:type="dxa"/>
            <w:vMerge w:val="restart"/>
            <w:vAlign w:val="center"/>
          </w:tcPr>
          <w:p w14:paraId="2DB8BD54" w14:textId="77777777" w:rsidR="0096367D" w:rsidRPr="007D4FAD" w:rsidRDefault="0096367D" w:rsidP="00F37272">
            <w:pPr>
              <w:pStyle w:val="Tablehead"/>
              <w:rPr>
                <w:sz w:val="20"/>
                <w:lang w:val="fr-CH"/>
              </w:rPr>
            </w:pPr>
            <w:r w:rsidRPr="007D4FAD">
              <w:rPr>
                <w:sz w:val="20"/>
                <w:lang w:val="fr-CH"/>
              </w:rPr>
              <w:t xml:space="preserve">Un-paired arrangements </w:t>
            </w:r>
            <w:r w:rsidRPr="007D4FAD">
              <w:rPr>
                <w:sz w:val="20"/>
                <w:lang w:val="fr-CH"/>
              </w:rPr>
              <w:br/>
              <w:t>(TDD)</w:t>
            </w:r>
            <w:r w:rsidRPr="007D4FAD">
              <w:rPr>
                <w:sz w:val="20"/>
                <w:lang w:val="fr-CH"/>
              </w:rPr>
              <w:br/>
              <w:t>(MHz)</w:t>
            </w:r>
          </w:p>
        </w:tc>
        <w:tc>
          <w:tcPr>
            <w:tcW w:w="997" w:type="dxa"/>
            <w:vMerge w:val="restart"/>
            <w:vAlign w:val="center"/>
          </w:tcPr>
          <w:p w14:paraId="23441875" w14:textId="77777777" w:rsidR="0096367D" w:rsidRPr="007D4FAD" w:rsidRDefault="0096367D" w:rsidP="00F37272">
            <w:pPr>
              <w:pStyle w:val="Tablehead"/>
              <w:rPr>
                <w:sz w:val="20"/>
              </w:rPr>
            </w:pPr>
            <w:r w:rsidRPr="007D4FAD">
              <w:rPr>
                <w:sz w:val="20"/>
              </w:rPr>
              <w:t>Relevant</w:t>
            </w:r>
            <w:r w:rsidRPr="007D4FAD">
              <w:rPr>
                <w:sz w:val="20"/>
              </w:rPr>
              <w:br/>
              <w:t>Notes</w:t>
            </w:r>
          </w:p>
        </w:tc>
      </w:tr>
      <w:tr w:rsidR="0096367D" w:rsidRPr="007D4FAD" w14:paraId="738E924B" w14:textId="77777777" w:rsidTr="00F37272">
        <w:trPr>
          <w:jc w:val="center"/>
        </w:trPr>
        <w:tc>
          <w:tcPr>
            <w:tcW w:w="2045" w:type="dxa"/>
            <w:vMerge/>
            <w:vAlign w:val="center"/>
          </w:tcPr>
          <w:p w14:paraId="539CADA2" w14:textId="77777777" w:rsidR="0096367D" w:rsidRPr="007D4FAD" w:rsidRDefault="0096367D" w:rsidP="00F37272">
            <w:pPr>
              <w:keepNext/>
              <w:spacing w:before="80" w:after="80"/>
              <w:jc w:val="center"/>
              <w:rPr>
                <w:rFonts w:ascii="Times New Roman Bold" w:hAnsi="Times New Roman Bold" w:cs="Times New Roman Bold" w:hint="eastAsia"/>
                <w:b/>
                <w:sz w:val="20"/>
              </w:rPr>
            </w:pPr>
          </w:p>
        </w:tc>
        <w:tc>
          <w:tcPr>
            <w:tcW w:w="1558" w:type="dxa"/>
            <w:vAlign w:val="center"/>
          </w:tcPr>
          <w:p w14:paraId="3CBE0FF2" w14:textId="77777777" w:rsidR="0096367D" w:rsidRPr="007D4FAD" w:rsidRDefault="0096367D" w:rsidP="00F37272">
            <w:pPr>
              <w:pStyle w:val="Tablehead"/>
              <w:rPr>
                <w:sz w:val="20"/>
              </w:rPr>
            </w:pPr>
            <w:r w:rsidRPr="007D4FAD">
              <w:rPr>
                <w:sz w:val="20"/>
              </w:rPr>
              <w:t>Mobile station transmitter</w:t>
            </w:r>
            <w:r w:rsidRPr="007D4FAD">
              <w:rPr>
                <w:sz w:val="20"/>
              </w:rPr>
              <w:br/>
              <w:t>(MHz)</w:t>
            </w:r>
          </w:p>
        </w:tc>
        <w:tc>
          <w:tcPr>
            <w:tcW w:w="1175" w:type="dxa"/>
            <w:vAlign w:val="center"/>
          </w:tcPr>
          <w:p w14:paraId="62768690" w14:textId="77777777" w:rsidR="0096367D" w:rsidRPr="007D4FAD" w:rsidRDefault="0096367D" w:rsidP="00F37272">
            <w:pPr>
              <w:pStyle w:val="Tablehead"/>
              <w:rPr>
                <w:sz w:val="20"/>
              </w:rPr>
            </w:pPr>
            <w:r w:rsidRPr="007D4FAD">
              <w:rPr>
                <w:sz w:val="20"/>
              </w:rPr>
              <w:t>Centre gap</w:t>
            </w:r>
            <w:r w:rsidRPr="007D4FAD">
              <w:rPr>
                <w:sz w:val="20"/>
              </w:rPr>
              <w:br/>
              <w:t>(MHz)</w:t>
            </w:r>
          </w:p>
        </w:tc>
        <w:tc>
          <w:tcPr>
            <w:tcW w:w="1313" w:type="dxa"/>
            <w:vAlign w:val="center"/>
          </w:tcPr>
          <w:p w14:paraId="78151F5F" w14:textId="77777777" w:rsidR="0096367D" w:rsidRPr="007D4FAD" w:rsidRDefault="0096367D" w:rsidP="00F37272">
            <w:pPr>
              <w:pStyle w:val="Tablehead"/>
              <w:rPr>
                <w:sz w:val="20"/>
              </w:rPr>
            </w:pPr>
            <w:r w:rsidRPr="007D4FAD">
              <w:rPr>
                <w:sz w:val="20"/>
              </w:rPr>
              <w:t>Base station transmitter</w:t>
            </w:r>
            <w:r w:rsidRPr="007D4FAD">
              <w:rPr>
                <w:sz w:val="20"/>
              </w:rPr>
              <w:br/>
              <w:t>(MHz)</w:t>
            </w:r>
          </w:p>
        </w:tc>
        <w:tc>
          <w:tcPr>
            <w:tcW w:w="1134" w:type="dxa"/>
            <w:vAlign w:val="center"/>
          </w:tcPr>
          <w:p w14:paraId="5D617047" w14:textId="77777777" w:rsidR="0096367D" w:rsidRPr="007D4FAD" w:rsidRDefault="0096367D" w:rsidP="00F37272">
            <w:pPr>
              <w:pStyle w:val="Tablehead"/>
              <w:rPr>
                <w:sz w:val="20"/>
              </w:rPr>
            </w:pPr>
            <w:r w:rsidRPr="007D4FAD">
              <w:rPr>
                <w:sz w:val="20"/>
              </w:rPr>
              <w:t>Duplex separation</w:t>
            </w:r>
            <w:r w:rsidRPr="007D4FAD">
              <w:rPr>
                <w:sz w:val="20"/>
              </w:rPr>
              <w:br/>
              <w:t>(MHz)</w:t>
            </w:r>
          </w:p>
        </w:tc>
        <w:tc>
          <w:tcPr>
            <w:tcW w:w="1417" w:type="dxa"/>
            <w:vMerge/>
            <w:vAlign w:val="center"/>
          </w:tcPr>
          <w:p w14:paraId="7E1D3BDD" w14:textId="77777777" w:rsidR="0096367D" w:rsidRPr="007D4FAD" w:rsidRDefault="0096367D" w:rsidP="00F37272">
            <w:pPr>
              <w:keepNext/>
              <w:spacing w:before="80" w:after="80"/>
              <w:jc w:val="center"/>
              <w:rPr>
                <w:rFonts w:ascii="Times New Roman Bold" w:hAnsi="Times New Roman Bold" w:cs="Times New Roman Bold" w:hint="eastAsia"/>
                <w:b/>
                <w:sz w:val="20"/>
              </w:rPr>
            </w:pPr>
          </w:p>
        </w:tc>
        <w:tc>
          <w:tcPr>
            <w:tcW w:w="997" w:type="dxa"/>
            <w:vMerge/>
          </w:tcPr>
          <w:p w14:paraId="428E98F4" w14:textId="77777777" w:rsidR="0096367D" w:rsidRPr="007D4FAD" w:rsidRDefault="0096367D" w:rsidP="00F37272">
            <w:pPr>
              <w:keepNext/>
              <w:spacing w:before="80" w:after="80"/>
              <w:jc w:val="center"/>
              <w:rPr>
                <w:rFonts w:ascii="Times New Roman Bold" w:hAnsi="Times New Roman Bold" w:cs="Times New Roman Bold" w:hint="eastAsia"/>
                <w:b/>
                <w:sz w:val="20"/>
              </w:rPr>
            </w:pPr>
          </w:p>
        </w:tc>
      </w:tr>
      <w:tr w:rsidR="0096367D" w:rsidRPr="007D4FAD" w14:paraId="4DEF56B3" w14:textId="77777777" w:rsidTr="00F37272">
        <w:trPr>
          <w:jc w:val="center"/>
        </w:trPr>
        <w:tc>
          <w:tcPr>
            <w:tcW w:w="2045" w:type="dxa"/>
            <w:vAlign w:val="center"/>
          </w:tcPr>
          <w:p w14:paraId="3F8F364A" w14:textId="77777777" w:rsidR="0096367D" w:rsidRPr="007D4FAD" w:rsidRDefault="0096367D" w:rsidP="00F37272">
            <w:pPr>
              <w:pStyle w:val="Tabletext"/>
              <w:jc w:val="center"/>
            </w:pPr>
            <w:r w:rsidRPr="007D4FAD">
              <w:t>B1</w:t>
            </w:r>
          </w:p>
        </w:tc>
        <w:tc>
          <w:tcPr>
            <w:tcW w:w="1558" w:type="dxa"/>
            <w:vAlign w:val="center"/>
          </w:tcPr>
          <w:p w14:paraId="74229636" w14:textId="77777777" w:rsidR="0096367D" w:rsidRPr="007D4FAD" w:rsidRDefault="0096367D" w:rsidP="00F37272">
            <w:pPr>
              <w:pStyle w:val="Tabletext"/>
              <w:jc w:val="center"/>
            </w:pPr>
            <w:r w:rsidRPr="007D4FAD">
              <w:t>1 920-1 980</w:t>
            </w:r>
          </w:p>
        </w:tc>
        <w:tc>
          <w:tcPr>
            <w:tcW w:w="1175" w:type="dxa"/>
            <w:vAlign w:val="center"/>
          </w:tcPr>
          <w:p w14:paraId="6DE993F2" w14:textId="77777777" w:rsidR="0096367D" w:rsidRPr="007D4FAD" w:rsidRDefault="0096367D" w:rsidP="00F37272">
            <w:pPr>
              <w:pStyle w:val="Tabletext"/>
              <w:jc w:val="center"/>
            </w:pPr>
            <w:r w:rsidRPr="007D4FAD">
              <w:t>130</w:t>
            </w:r>
          </w:p>
        </w:tc>
        <w:tc>
          <w:tcPr>
            <w:tcW w:w="1313" w:type="dxa"/>
            <w:vAlign w:val="center"/>
          </w:tcPr>
          <w:p w14:paraId="34DD8E58" w14:textId="77777777" w:rsidR="0096367D" w:rsidRPr="007D4FAD" w:rsidRDefault="0096367D" w:rsidP="00F37272">
            <w:pPr>
              <w:pStyle w:val="Tabletext"/>
              <w:jc w:val="center"/>
            </w:pPr>
            <w:r w:rsidRPr="007D4FAD">
              <w:t>2 110-2 170</w:t>
            </w:r>
          </w:p>
        </w:tc>
        <w:tc>
          <w:tcPr>
            <w:tcW w:w="1134" w:type="dxa"/>
            <w:vAlign w:val="center"/>
          </w:tcPr>
          <w:p w14:paraId="32AAA14F" w14:textId="77777777" w:rsidR="0096367D" w:rsidRPr="007D4FAD" w:rsidRDefault="0096367D" w:rsidP="00F37272">
            <w:pPr>
              <w:pStyle w:val="Tabletext"/>
              <w:jc w:val="center"/>
            </w:pPr>
            <w:r w:rsidRPr="007D4FAD">
              <w:t>190</w:t>
            </w:r>
          </w:p>
        </w:tc>
        <w:tc>
          <w:tcPr>
            <w:tcW w:w="1417" w:type="dxa"/>
            <w:vAlign w:val="center"/>
          </w:tcPr>
          <w:p w14:paraId="56FB1749" w14:textId="77777777" w:rsidR="0096367D" w:rsidRPr="007D4FAD" w:rsidRDefault="0096367D" w:rsidP="00F37272">
            <w:pPr>
              <w:pStyle w:val="Tabletext"/>
              <w:jc w:val="center"/>
            </w:pPr>
            <w:r w:rsidRPr="007D4FAD">
              <w:t>1 880-1 920;</w:t>
            </w:r>
            <w:r w:rsidRPr="007D4FAD">
              <w:br/>
              <w:t>2 010-2 025</w:t>
            </w:r>
          </w:p>
        </w:tc>
        <w:tc>
          <w:tcPr>
            <w:tcW w:w="997" w:type="dxa"/>
            <w:vAlign w:val="center"/>
          </w:tcPr>
          <w:p w14:paraId="79B91F36" w14:textId="77777777" w:rsidR="0096367D" w:rsidRPr="007D4FAD" w:rsidRDefault="0096367D" w:rsidP="00F37272">
            <w:pPr>
              <w:pStyle w:val="Tabletext"/>
              <w:jc w:val="center"/>
            </w:pPr>
            <w:r w:rsidRPr="007D4FAD">
              <w:t>1, 2, 4</w:t>
            </w:r>
          </w:p>
        </w:tc>
      </w:tr>
      <w:tr w:rsidR="0096367D" w:rsidRPr="007D4FAD" w14:paraId="3C0D396D" w14:textId="77777777" w:rsidTr="00F37272">
        <w:trPr>
          <w:jc w:val="center"/>
        </w:trPr>
        <w:tc>
          <w:tcPr>
            <w:tcW w:w="2045" w:type="dxa"/>
            <w:vAlign w:val="center"/>
          </w:tcPr>
          <w:p w14:paraId="71DDE312" w14:textId="77777777" w:rsidR="0096367D" w:rsidRPr="007D4FAD" w:rsidRDefault="0096367D" w:rsidP="00F37272">
            <w:pPr>
              <w:pStyle w:val="Tabletext"/>
              <w:jc w:val="center"/>
            </w:pPr>
            <w:r w:rsidRPr="007D4FAD">
              <w:t>B6</w:t>
            </w:r>
          </w:p>
        </w:tc>
        <w:tc>
          <w:tcPr>
            <w:tcW w:w="1558" w:type="dxa"/>
            <w:vAlign w:val="center"/>
          </w:tcPr>
          <w:p w14:paraId="685D25C5" w14:textId="77777777" w:rsidR="0096367D" w:rsidRPr="007D4FAD" w:rsidRDefault="0096367D" w:rsidP="00F37272">
            <w:pPr>
              <w:pStyle w:val="Tabletext"/>
              <w:jc w:val="center"/>
            </w:pPr>
            <w:r w:rsidRPr="007D4FAD">
              <w:t>1 980-2 010</w:t>
            </w:r>
          </w:p>
        </w:tc>
        <w:tc>
          <w:tcPr>
            <w:tcW w:w="1175" w:type="dxa"/>
            <w:vAlign w:val="center"/>
          </w:tcPr>
          <w:p w14:paraId="587ED6B3" w14:textId="77777777" w:rsidR="0096367D" w:rsidRPr="007D4FAD" w:rsidRDefault="0096367D" w:rsidP="00F37272">
            <w:pPr>
              <w:pStyle w:val="Tabletext"/>
              <w:jc w:val="center"/>
            </w:pPr>
            <w:r w:rsidRPr="007D4FAD">
              <w:t>160</w:t>
            </w:r>
          </w:p>
        </w:tc>
        <w:tc>
          <w:tcPr>
            <w:tcW w:w="1313" w:type="dxa"/>
            <w:vAlign w:val="center"/>
          </w:tcPr>
          <w:p w14:paraId="14FF6C98" w14:textId="77777777" w:rsidR="0096367D" w:rsidRPr="007D4FAD" w:rsidRDefault="0096367D" w:rsidP="00F37272">
            <w:pPr>
              <w:pStyle w:val="Tabletext"/>
              <w:jc w:val="center"/>
            </w:pPr>
            <w:r w:rsidRPr="007D4FAD">
              <w:t>2 170-2 200</w:t>
            </w:r>
          </w:p>
        </w:tc>
        <w:tc>
          <w:tcPr>
            <w:tcW w:w="1134" w:type="dxa"/>
            <w:vAlign w:val="center"/>
          </w:tcPr>
          <w:p w14:paraId="25F5B559" w14:textId="77777777" w:rsidR="0096367D" w:rsidRPr="007D4FAD" w:rsidRDefault="0096367D" w:rsidP="00F37272">
            <w:pPr>
              <w:pStyle w:val="Tabletext"/>
              <w:jc w:val="center"/>
            </w:pPr>
            <w:r w:rsidRPr="007D4FAD">
              <w:t>190</w:t>
            </w:r>
          </w:p>
        </w:tc>
        <w:tc>
          <w:tcPr>
            <w:tcW w:w="1417" w:type="dxa"/>
            <w:vAlign w:val="center"/>
          </w:tcPr>
          <w:p w14:paraId="5E3ADEAA" w14:textId="77777777" w:rsidR="0096367D" w:rsidRPr="007D4FAD" w:rsidRDefault="0096367D" w:rsidP="00F37272">
            <w:pPr>
              <w:pStyle w:val="Tabletext"/>
              <w:jc w:val="center"/>
            </w:pPr>
            <w:r w:rsidRPr="007D4FAD">
              <w:t>None</w:t>
            </w:r>
          </w:p>
        </w:tc>
        <w:tc>
          <w:tcPr>
            <w:tcW w:w="997" w:type="dxa"/>
            <w:vAlign w:val="center"/>
          </w:tcPr>
          <w:p w14:paraId="137CF69A" w14:textId="77777777" w:rsidR="0096367D" w:rsidRPr="007D4FAD" w:rsidRDefault="0096367D" w:rsidP="00F37272">
            <w:pPr>
              <w:pStyle w:val="Tabletext"/>
              <w:jc w:val="center"/>
            </w:pPr>
            <w:r w:rsidRPr="007D4FAD">
              <w:t>4, 5</w:t>
            </w:r>
          </w:p>
        </w:tc>
      </w:tr>
    </w:tbl>
    <w:p w14:paraId="6260EF60" w14:textId="77777777" w:rsidR="0096367D" w:rsidRDefault="0096367D" w:rsidP="0096367D">
      <w:pPr>
        <w:spacing w:before="120" w:after="120"/>
        <w:jc w:val="both"/>
        <w:rPr>
          <w:rFonts w:eastAsia="MS Mincho"/>
          <w:lang w:val="en-AU" w:eastAsia="ja-JP"/>
        </w:rPr>
      </w:pPr>
      <w:bookmarkStart w:id="2" w:name="OLE_LINK3"/>
      <w:bookmarkStart w:id="3" w:name="OLE_LINK6"/>
      <w:bookmarkEnd w:id="0"/>
      <w:bookmarkEnd w:id="1"/>
    </w:p>
    <w:p w14:paraId="3BCC1B7A" w14:textId="77777777" w:rsidR="0096367D" w:rsidRDefault="0096367D" w:rsidP="0096367D">
      <w:pPr>
        <w:spacing w:before="120" w:after="120"/>
        <w:jc w:val="both"/>
        <w:rPr>
          <w:rFonts w:eastAsia="MS Mincho"/>
          <w:lang w:val="en-AU" w:eastAsia="ja-JP"/>
        </w:rPr>
      </w:pPr>
      <w:r>
        <w:rPr>
          <w:rFonts w:eastAsia="MS Mincho"/>
          <w:lang w:val="en-AU" w:eastAsia="ja-JP"/>
        </w:rPr>
        <w:t>The</w:t>
      </w:r>
      <w:r>
        <w:rPr>
          <w:iCs/>
          <w:noProof/>
        </w:rPr>
        <w:t xml:space="preserve"> notes 1, 2, 4, and 5 in Table 1 are included in Attachment 3 in this Report and discussed in Section 6 related to co-existance guidance.</w:t>
      </w:r>
    </w:p>
    <w:p w14:paraId="2046FCDA" w14:textId="77777777" w:rsidR="00A214A1" w:rsidRPr="00A214A1" w:rsidRDefault="0096367D" w:rsidP="0096367D">
      <w:pPr>
        <w:spacing w:before="120" w:after="120"/>
        <w:jc w:val="both"/>
        <w:rPr>
          <w:rFonts w:eastAsia="MS Mincho"/>
          <w:lang w:val="en-AU" w:eastAsia="ja-JP"/>
        </w:rPr>
      </w:pPr>
      <w:r>
        <w:rPr>
          <w:rFonts w:eastAsia="MS Mincho"/>
          <w:lang w:val="en-AU" w:eastAsia="ja-JP"/>
        </w:rPr>
        <w:t xml:space="preserve">The band plan B1, 1920 – 1980 / 2110 – 2170 MHz, was introduced as the first 3G band and has been </w:t>
      </w:r>
      <w:r w:rsidRPr="00AC73B2">
        <w:rPr>
          <w:rFonts w:eastAsia="MS Mincho"/>
          <w:lang w:val="en-AU" w:eastAsia="ja-JP"/>
        </w:rPr>
        <w:t xml:space="preserve">widely used for </w:t>
      </w:r>
      <w:r>
        <w:rPr>
          <w:rFonts w:eastAsia="MS Mincho"/>
          <w:lang w:val="en-AU" w:eastAsia="ja-JP"/>
        </w:rPr>
        <w:t xml:space="preserve">mobile cellular </w:t>
      </w:r>
      <w:r w:rsidRPr="00AC73B2">
        <w:rPr>
          <w:rFonts w:eastAsia="MS Mincho"/>
          <w:lang w:val="en-AU" w:eastAsia="ja-JP"/>
        </w:rPr>
        <w:t>networks worldwide</w:t>
      </w:r>
      <w:r>
        <w:rPr>
          <w:rFonts w:eastAsia="MS Mincho"/>
          <w:lang w:val="en-AU" w:eastAsia="ja-JP"/>
        </w:rPr>
        <w:t xml:space="preserve">, also in all APT countries. </w:t>
      </w:r>
      <w:r w:rsidRPr="00E75467">
        <w:rPr>
          <w:rFonts w:eastAsia="MS Mincho"/>
          <w:lang w:val="en-AU" w:eastAsia="ja-JP"/>
        </w:rPr>
        <w:t>Around the world, more than 180 countries have deployed about 470 IMT networks (including WCDMA, LTE and LTE-Advanced)</w:t>
      </w:r>
      <w:bookmarkEnd w:id="2"/>
      <w:bookmarkEnd w:id="3"/>
      <w:r w:rsidRPr="00E75467">
        <w:rPr>
          <w:rFonts w:eastAsia="MS Mincho"/>
          <w:lang w:val="en-AU" w:eastAsia="ja-JP"/>
        </w:rPr>
        <w:t xml:space="preserve"> in this band. Additionally, there is now also a migration started towards 5G NR and currently</w:t>
      </w:r>
      <w:r w:rsidR="00A214A1">
        <w:rPr>
          <w:rFonts w:eastAsia="MS Mincho"/>
          <w:lang w:val="en-AU" w:eastAsia="ja-JP"/>
        </w:rPr>
        <w:t xml:space="preserve"> (March 2022)</w:t>
      </w:r>
      <w:r w:rsidRPr="00E75467">
        <w:rPr>
          <w:rFonts w:eastAsia="MS Mincho"/>
          <w:lang w:val="en-AU" w:eastAsia="ja-JP"/>
        </w:rPr>
        <w:t xml:space="preserve"> there are </w:t>
      </w:r>
      <w:r w:rsidR="00A214A1" w:rsidRPr="00A214A1">
        <w:rPr>
          <w:rFonts w:eastAsia="MS Mincho"/>
          <w:lang w:val="en-AU" w:eastAsia="ja-JP"/>
        </w:rPr>
        <w:t>forty-two</w:t>
      </w:r>
      <w:r w:rsidRPr="00E75467">
        <w:rPr>
          <w:rFonts w:eastAsia="MS Mincho"/>
          <w:lang w:val="en-AU" w:eastAsia="ja-JP"/>
        </w:rPr>
        <w:t xml:space="preserve"> operators that have been investing in 5G in this band</w:t>
      </w:r>
      <w:r w:rsidR="00A214A1">
        <w:rPr>
          <w:rFonts w:eastAsia="MS Mincho"/>
          <w:lang w:val="en-AU" w:eastAsia="ja-JP"/>
        </w:rPr>
        <w:t xml:space="preserve"> </w:t>
      </w:r>
      <w:r w:rsidR="00A214A1" w:rsidRPr="00A214A1">
        <w:rPr>
          <w:rFonts w:eastAsia="MS Mincho"/>
          <w:lang w:val="en-AU" w:eastAsia="ja-JP"/>
        </w:rPr>
        <w:t xml:space="preserve">(3GPP band </w:t>
      </w:r>
      <w:r w:rsidR="001B1692">
        <w:rPr>
          <w:rFonts w:eastAsia="MS Mincho"/>
          <w:lang w:val="en-AU" w:eastAsia="ja-JP"/>
        </w:rPr>
        <w:t xml:space="preserve">1920 – </w:t>
      </w:r>
      <w:proofErr w:type="gramStart"/>
      <w:r w:rsidR="001B1692">
        <w:rPr>
          <w:rFonts w:eastAsia="MS Mincho"/>
          <w:lang w:val="en-AU" w:eastAsia="ja-JP"/>
        </w:rPr>
        <w:t xml:space="preserve">1980  </w:t>
      </w:r>
      <w:r w:rsidR="001B1692" w:rsidRPr="001B1692">
        <w:rPr>
          <w:rFonts w:eastAsia="MS Mincho" w:hint="eastAsia"/>
          <w:lang w:val="en-AU" w:eastAsia="ja-JP"/>
        </w:rPr>
        <w:t>UL</w:t>
      </w:r>
      <w:proofErr w:type="gramEnd"/>
      <w:r w:rsidR="001B1692">
        <w:rPr>
          <w:rFonts w:eastAsia="MS Mincho"/>
          <w:lang w:val="en-AU" w:eastAsia="ja-JP"/>
        </w:rPr>
        <w:t>/ 2110 – 2170 MHz</w:t>
      </w:r>
      <w:r w:rsidR="001B1692" w:rsidRPr="001B1692">
        <w:rPr>
          <w:rFonts w:eastAsia="MS Mincho"/>
          <w:lang w:val="en-AU" w:eastAsia="ja-JP"/>
        </w:rPr>
        <w:t xml:space="preserve"> </w:t>
      </w:r>
      <w:r w:rsidR="001B1692" w:rsidRPr="001B1692">
        <w:rPr>
          <w:rFonts w:eastAsia="MS Mincho" w:hint="eastAsia"/>
          <w:lang w:val="en-AU" w:eastAsia="ja-JP"/>
        </w:rPr>
        <w:t>DL</w:t>
      </w:r>
      <w:r w:rsidR="00A214A1" w:rsidRPr="00A214A1">
        <w:rPr>
          <w:rFonts w:eastAsia="MS Mincho"/>
          <w:lang w:val="en-AU" w:eastAsia="ja-JP"/>
        </w:rPr>
        <w:t>)</w:t>
      </w:r>
      <w:r w:rsidR="00A214A1">
        <w:rPr>
          <w:rFonts w:eastAsia="MS Mincho"/>
          <w:lang w:val="en-AU" w:eastAsia="ja-JP"/>
        </w:rPr>
        <w:t>,</w:t>
      </w:r>
      <w:r w:rsidRPr="00E75467">
        <w:rPr>
          <w:rFonts w:eastAsia="MS Mincho"/>
          <w:lang w:val="en-AU" w:eastAsia="ja-JP"/>
        </w:rPr>
        <w:t xml:space="preserve"> and </w:t>
      </w:r>
      <w:r w:rsidR="00A214A1" w:rsidRPr="00A214A1">
        <w:rPr>
          <w:rFonts w:eastAsia="MS Mincho"/>
          <w:lang w:val="en-AU" w:eastAsia="ja-JP"/>
        </w:rPr>
        <w:t>thirty-eight</w:t>
      </w:r>
      <w:r w:rsidRPr="00E75467">
        <w:rPr>
          <w:rFonts w:eastAsia="MS Mincho"/>
          <w:lang w:val="en-AU" w:eastAsia="ja-JP"/>
        </w:rPr>
        <w:t xml:space="preserve"> of those are known to have launched 5G NR and there are already now </w:t>
      </w:r>
      <w:r w:rsidR="00A214A1" w:rsidRPr="00A214A1">
        <w:rPr>
          <w:rFonts w:eastAsia="MS Mincho"/>
          <w:lang w:val="en-AU" w:eastAsia="ja-JP"/>
        </w:rPr>
        <w:t>over</w:t>
      </w:r>
      <w:r w:rsidRPr="00E75467">
        <w:rPr>
          <w:rFonts w:eastAsia="MS Mincho"/>
          <w:lang w:val="en-AU" w:eastAsia="ja-JP"/>
        </w:rPr>
        <w:t xml:space="preserve"> 1000 5G devices</w:t>
      </w:r>
      <w:r w:rsidR="00A214A1">
        <w:rPr>
          <w:rStyle w:val="FootnoteReference"/>
          <w:rFonts w:eastAsia="MS Mincho"/>
          <w:lang w:val="en-AU" w:eastAsia="ja-JP"/>
        </w:rPr>
        <w:footnoteReference w:id="2"/>
      </w:r>
      <w:r w:rsidRPr="00E75467">
        <w:rPr>
          <w:rFonts w:eastAsia="MS Mincho"/>
          <w:lang w:val="en-AU" w:eastAsia="ja-JP"/>
        </w:rPr>
        <w:t>.</w:t>
      </w:r>
    </w:p>
    <w:p w14:paraId="5E5EEF64" w14:textId="50085A80" w:rsidR="005205D3" w:rsidRPr="00B83DAC" w:rsidRDefault="0096367D" w:rsidP="00B83DAC">
      <w:pPr>
        <w:spacing w:before="120" w:after="120"/>
        <w:jc w:val="both"/>
        <w:rPr>
          <w:rFonts w:eastAsia="MS Mincho"/>
          <w:lang w:val="en-AU" w:eastAsia="ja-JP"/>
        </w:rPr>
      </w:pPr>
      <w:r>
        <w:rPr>
          <w:rFonts w:eastAsia="MS Mincho"/>
          <w:lang w:val="en-AU" w:eastAsia="ja-JP"/>
        </w:rPr>
        <w:t>There is a need of additional bandwidth for expanding the capacity of LTE-Advanced system or deploying 5G NR systems, which could provide better user experience of the mobile broadband service. The adjacent band</w:t>
      </w:r>
      <w:r w:rsidR="00E75467">
        <w:rPr>
          <w:rFonts w:eastAsia="MS Mincho"/>
          <w:lang w:val="en-AU" w:eastAsia="ja-JP"/>
        </w:rPr>
        <w:t>s</w:t>
      </w:r>
      <w:r>
        <w:rPr>
          <w:rFonts w:eastAsia="MS Mincho"/>
          <w:lang w:val="en-AU" w:eastAsia="ja-JP"/>
        </w:rPr>
        <w:t>, 1980 – 2010 MHz</w:t>
      </w:r>
      <w:bookmarkStart w:id="4" w:name="OLE_LINK7"/>
      <w:bookmarkStart w:id="5" w:name="OLE_LINK8"/>
      <w:r>
        <w:rPr>
          <w:rFonts w:eastAsia="MS Mincho"/>
          <w:lang w:val="en-AU" w:eastAsia="ja-JP"/>
        </w:rPr>
        <w:t xml:space="preserve"> </w:t>
      </w:r>
      <w:r w:rsidR="00E75467">
        <w:rPr>
          <w:rFonts w:eastAsia="MS Mincho"/>
          <w:lang w:val="en-AU" w:eastAsia="ja-JP"/>
        </w:rPr>
        <w:t xml:space="preserve">and </w:t>
      </w:r>
      <w:r>
        <w:rPr>
          <w:rFonts w:eastAsia="MS Mincho"/>
          <w:lang w:val="en-AU" w:eastAsia="ja-JP"/>
        </w:rPr>
        <w:t>2170 – 2200 MHz</w:t>
      </w:r>
      <w:bookmarkEnd w:id="4"/>
      <w:bookmarkEnd w:id="5"/>
      <w:r>
        <w:rPr>
          <w:rFonts w:eastAsia="MS Mincho"/>
          <w:lang w:val="en-AU" w:eastAsia="ja-JP"/>
        </w:rPr>
        <w:t>, are identified fo</w:t>
      </w:r>
      <w:r w:rsidRPr="00130E29">
        <w:rPr>
          <w:rFonts w:eastAsia="MS Mincho"/>
          <w:lang w:val="en-AU" w:eastAsia="ja-JP"/>
        </w:rPr>
        <w:t xml:space="preserve">r </w:t>
      </w:r>
      <w:r w:rsidR="00EC59AD" w:rsidRPr="00130E29">
        <w:rPr>
          <w:rFonts w:eastAsia="MS Mincho"/>
          <w:lang w:val="en-AU" w:eastAsia="ja-JP"/>
        </w:rPr>
        <w:t xml:space="preserve">both </w:t>
      </w:r>
      <w:r w:rsidRPr="00130E29">
        <w:rPr>
          <w:rFonts w:eastAsia="MS Mincho"/>
          <w:lang w:val="en-AU" w:eastAsia="ja-JP"/>
        </w:rPr>
        <w:t>terrestrial</w:t>
      </w:r>
      <w:r w:rsidR="00EC59AD" w:rsidRPr="00130E29">
        <w:rPr>
          <w:rFonts w:eastAsia="MS Mincho"/>
          <w:lang w:val="en-AU" w:eastAsia="ja-JP"/>
        </w:rPr>
        <w:t xml:space="preserve"> and satellite</w:t>
      </w:r>
      <w:r w:rsidRPr="00130E29">
        <w:rPr>
          <w:rFonts w:eastAsia="MS Mincho"/>
          <w:lang w:val="en-AU" w:eastAsia="ja-JP"/>
        </w:rPr>
        <w:t xml:space="preserve"> IMT</w:t>
      </w:r>
      <w:r w:rsidR="00E75467" w:rsidRPr="00130E29">
        <w:rPr>
          <w:rFonts w:eastAsia="MS Mincho"/>
          <w:lang w:val="en-AU" w:eastAsia="ja-JP"/>
        </w:rPr>
        <w:t xml:space="preserve"> in ITU Radio Regulation</w:t>
      </w:r>
      <w:r w:rsidR="00130E29" w:rsidRPr="00130E29">
        <w:rPr>
          <w:rFonts w:eastAsia="MS Mincho"/>
          <w:lang w:val="en-AU" w:eastAsia="ja-JP"/>
        </w:rPr>
        <w:t>.</w:t>
      </w:r>
      <w:r w:rsidR="00E75467" w:rsidRPr="00130E29">
        <w:rPr>
          <w:rFonts w:eastAsia="MS Mincho"/>
          <w:lang w:val="en-AU" w:eastAsia="ja-JP"/>
        </w:rPr>
        <w:t xml:space="preserve"> </w:t>
      </w:r>
      <w:r w:rsidR="00130E29" w:rsidRPr="00130E29">
        <w:rPr>
          <w:rFonts w:eastAsia="MS Mincho"/>
          <w:lang w:val="en-AU" w:eastAsia="ja-JP"/>
        </w:rPr>
        <w:t xml:space="preserve">Some </w:t>
      </w:r>
      <w:r w:rsidRPr="00130E29">
        <w:rPr>
          <w:rFonts w:eastAsia="MS Mincho"/>
          <w:lang w:val="en-AU" w:eastAsia="ja-JP"/>
        </w:rPr>
        <w:t>APT countries</w:t>
      </w:r>
      <w:r w:rsidR="00E75467" w:rsidRPr="00130E29">
        <w:rPr>
          <w:rFonts w:eastAsia="MS Mincho"/>
          <w:lang w:val="en-AU" w:eastAsia="ja-JP"/>
        </w:rPr>
        <w:t xml:space="preserve"> are considering </w:t>
      </w:r>
      <w:r w:rsidR="00130E29" w:rsidRPr="00130E29">
        <w:rPr>
          <w:rFonts w:eastAsia="MS Mincho"/>
          <w:lang w:val="en-AU" w:eastAsia="ja-JP"/>
        </w:rPr>
        <w:t xml:space="preserve">or </w:t>
      </w:r>
      <w:r w:rsidR="00130E29" w:rsidRPr="001C44F8">
        <w:rPr>
          <w:rFonts w:eastAsia="MS Mincho"/>
          <w:lang w:val="en-AU" w:eastAsia="ja-JP"/>
        </w:rPr>
        <w:t xml:space="preserve">have these bands available for </w:t>
      </w:r>
      <w:r w:rsidR="00E75467" w:rsidRPr="00130E29">
        <w:rPr>
          <w:rFonts w:eastAsia="MS Mincho"/>
          <w:lang w:val="en-AU" w:eastAsia="ja-JP"/>
        </w:rPr>
        <w:t>terrestrial IMT</w:t>
      </w:r>
      <w:r w:rsidR="00130E29" w:rsidRPr="00130E29">
        <w:rPr>
          <w:rFonts w:eastAsia="MS Mincho"/>
          <w:lang w:val="en-AU" w:eastAsia="ja-JP"/>
        </w:rPr>
        <w:t>.</w:t>
      </w:r>
      <w:r w:rsidR="00E75467" w:rsidRPr="00130E29">
        <w:rPr>
          <w:rFonts w:eastAsia="MS Mincho"/>
          <w:lang w:val="en-AU" w:eastAsia="ja-JP"/>
        </w:rPr>
        <w:t xml:space="preserve"> </w:t>
      </w:r>
      <w:r w:rsidR="00130E29" w:rsidRPr="00130E29">
        <w:rPr>
          <w:rFonts w:eastAsia="MS Mincho"/>
          <w:lang w:val="en-AU" w:eastAsia="ja-JP"/>
        </w:rPr>
        <w:t>S</w:t>
      </w:r>
      <w:r w:rsidR="00E75467" w:rsidRPr="00130E29">
        <w:rPr>
          <w:rFonts w:eastAsia="MS Mincho"/>
          <w:lang w:val="en-AU" w:eastAsia="ja-JP"/>
        </w:rPr>
        <w:t xml:space="preserve">ome others </w:t>
      </w:r>
      <w:r w:rsidR="00130E29" w:rsidRPr="00130E29">
        <w:rPr>
          <w:rFonts w:eastAsia="MS Mincho"/>
          <w:lang w:val="en-AU" w:eastAsia="ja-JP"/>
        </w:rPr>
        <w:t xml:space="preserve">are considering or </w:t>
      </w:r>
      <w:r w:rsidR="00E75467" w:rsidRPr="00130E29">
        <w:rPr>
          <w:rFonts w:eastAsia="MS Mincho"/>
          <w:lang w:val="en-AU" w:eastAsia="ja-JP"/>
        </w:rPr>
        <w:t>have these ban</w:t>
      </w:r>
      <w:r w:rsidR="00E75467">
        <w:rPr>
          <w:rFonts w:eastAsia="MS Mincho"/>
          <w:lang w:val="en-AU" w:eastAsia="ja-JP"/>
        </w:rPr>
        <w:t>ds available for</w:t>
      </w:r>
      <w:r w:rsidR="00130E29">
        <w:rPr>
          <w:rFonts w:eastAsia="MS Mincho"/>
          <w:lang w:val="en-AU" w:eastAsia="ja-JP"/>
        </w:rPr>
        <w:t xml:space="preserve"> </w:t>
      </w:r>
      <w:r w:rsidR="00E75467">
        <w:rPr>
          <w:rFonts w:eastAsia="MS Mincho"/>
          <w:lang w:val="en-AU" w:eastAsia="ja-JP"/>
        </w:rPr>
        <w:t>satellite IMT</w:t>
      </w:r>
      <w:r>
        <w:rPr>
          <w:rFonts w:eastAsia="MS Mincho"/>
          <w:lang w:val="en-AU" w:eastAsia="ja-JP"/>
        </w:rPr>
        <w:t xml:space="preserve">. </w:t>
      </w:r>
      <w:r w:rsidR="002E0EE9">
        <w:rPr>
          <w:rFonts w:eastAsia="MS Mincho"/>
          <w:lang w:val="en-AU" w:eastAsia="ja-JP"/>
        </w:rPr>
        <w:t>ITU-R has recognized that satellite component is an integral part of IMT. Resolution 212</w:t>
      </w:r>
      <w:r w:rsidR="00141BA6">
        <w:rPr>
          <w:rFonts w:eastAsia="MS Mincho"/>
          <w:lang w:val="en-AU" w:eastAsia="ja-JP"/>
        </w:rPr>
        <w:t xml:space="preserve"> (</w:t>
      </w:r>
      <w:r w:rsidR="00D44EDD">
        <w:rPr>
          <w:rFonts w:eastAsia="MS Mincho"/>
          <w:lang w:val="en-AU" w:eastAsia="ja-JP"/>
        </w:rPr>
        <w:t xml:space="preserve">Rev. </w:t>
      </w:r>
      <w:r w:rsidR="00141BA6">
        <w:rPr>
          <w:rFonts w:eastAsia="MS Mincho"/>
          <w:lang w:val="en-AU" w:eastAsia="ja-JP"/>
        </w:rPr>
        <w:t>WRC-19)</w:t>
      </w:r>
      <w:r w:rsidR="002E0EE9">
        <w:rPr>
          <w:rFonts w:eastAsia="MS Mincho"/>
          <w:lang w:val="en-AU" w:eastAsia="ja-JP"/>
        </w:rPr>
        <w:t xml:space="preserve"> states that the availability of </w:t>
      </w:r>
      <w:r w:rsidR="00141BA6">
        <w:rPr>
          <w:rFonts w:eastAsia="MS Mincho"/>
          <w:lang w:val="en-AU" w:eastAsia="ja-JP"/>
        </w:rPr>
        <w:t xml:space="preserve">the </w:t>
      </w:r>
      <w:r w:rsidR="002E0EE9">
        <w:rPr>
          <w:rFonts w:eastAsia="MS Mincho"/>
          <w:lang w:val="en-AU" w:eastAsia="ja-JP"/>
        </w:rPr>
        <w:t xml:space="preserve">satellite component of IMT in the frequency bands 1980 – 2010 MHz and 2170 – 2200 MHz simultaneously with </w:t>
      </w:r>
      <w:r w:rsidR="00141BA6">
        <w:rPr>
          <w:rFonts w:eastAsia="MS Mincho"/>
          <w:lang w:val="en-AU" w:eastAsia="ja-JP"/>
        </w:rPr>
        <w:t xml:space="preserve">the </w:t>
      </w:r>
      <w:r w:rsidR="002E0EE9">
        <w:rPr>
          <w:rFonts w:eastAsia="MS Mincho"/>
          <w:lang w:val="en-AU" w:eastAsia="ja-JP"/>
        </w:rPr>
        <w:t xml:space="preserve">terrestrial component of IMT in the frequency bands </w:t>
      </w:r>
      <w:r w:rsidR="00141BA6">
        <w:rPr>
          <w:rFonts w:eastAsia="MS Mincho"/>
          <w:lang w:val="en-AU" w:eastAsia="ja-JP"/>
        </w:rPr>
        <w:t xml:space="preserve">identified in </w:t>
      </w:r>
      <w:r w:rsidR="00D44EDD">
        <w:rPr>
          <w:rFonts w:eastAsia="MS Mincho"/>
          <w:lang w:val="en-AU" w:eastAsia="ja-JP"/>
        </w:rPr>
        <w:t xml:space="preserve">RR </w:t>
      </w:r>
      <w:r w:rsidR="00141BA6">
        <w:rPr>
          <w:rFonts w:eastAsia="MS Mincho"/>
          <w:lang w:val="en-AU" w:eastAsia="ja-JP"/>
        </w:rPr>
        <w:t>No. 5.3</w:t>
      </w:r>
      <w:r w:rsidR="00D44EDD">
        <w:rPr>
          <w:rFonts w:eastAsia="MS Mincho"/>
          <w:lang w:val="en-AU" w:eastAsia="ja-JP"/>
        </w:rPr>
        <w:t>8</w:t>
      </w:r>
      <w:r w:rsidR="00141BA6">
        <w:rPr>
          <w:rFonts w:eastAsia="MS Mincho"/>
          <w:lang w:val="en-AU" w:eastAsia="ja-JP"/>
        </w:rPr>
        <w:t xml:space="preserve">8 would improve the overall use of IMT. </w:t>
      </w:r>
      <w:r>
        <w:rPr>
          <w:rFonts w:eastAsia="MS PMincho"/>
          <w:lang w:eastAsia="ja-JP"/>
        </w:rPr>
        <w:t>The combination of B1 and B6</w:t>
      </w:r>
      <w:r>
        <w:rPr>
          <w:rFonts w:eastAsia="MS Mincho"/>
          <w:lang w:val="en-AU" w:eastAsia="ja-JP"/>
        </w:rPr>
        <w:t xml:space="preserve"> would create the larg</w:t>
      </w:r>
      <w:r w:rsidRPr="00FF4DE3">
        <w:rPr>
          <w:rFonts w:eastAsia="MS Mincho"/>
          <w:lang w:val="en-AU" w:eastAsia="ja-JP"/>
        </w:rPr>
        <w:t xml:space="preserve">est contiguous band </w:t>
      </w:r>
      <w:r w:rsidRPr="00FF4DE3">
        <w:rPr>
          <w:rFonts w:eastAsia="MS Mincho"/>
          <w:lang w:val="en-AU" w:eastAsia="ja-JP"/>
        </w:rPr>
        <w:lastRenderedPageBreak/>
        <w:t xml:space="preserve">for </w:t>
      </w:r>
      <w:r w:rsidR="00951AAC" w:rsidRPr="00FF4DE3">
        <w:rPr>
          <w:rFonts w:eastAsia="MS Mincho"/>
          <w:lang w:val="en-AU" w:eastAsia="ja-JP"/>
        </w:rPr>
        <w:t xml:space="preserve">the terrestrial </w:t>
      </w:r>
      <w:r w:rsidRPr="00FF4DE3">
        <w:rPr>
          <w:rFonts w:eastAsia="MS Mincho"/>
          <w:lang w:val="en-AU" w:eastAsia="ja-JP"/>
        </w:rPr>
        <w:t>IMT</w:t>
      </w:r>
      <w:r w:rsidR="00EC59AD" w:rsidRPr="00FF4DE3">
        <w:rPr>
          <w:rFonts w:eastAsia="MS Mincho"/>
          <w:lang w:val="en-AU" w:eastAsia="ja-JP"/>
        </w:rPr>
        <w:t xml:space="preserve"> below</w:t>
      </w:r>
      <w:r w:rsidRPr="00FF4DE3">
        <w:rPr>
          <w:rFonts w:eastAsia="MS Mincho"/>
          <w:lang w:val="en-AU" w:eastAsia="ja-JP"/>
        </w:rPr>
        <w:t xml:space="preserve"> the 3 GHz frequency range. This has been studied and specified in 3GPP and is described further in Section 5 of this Report.</w:t>
      </w:r>
      <w:r w:rsidR="00130E29" w:rsidRPr="00FF4DE3">
        <w:rPr>
          <w:rFonts w:eastAsia="MS Mincho"/>
          <w:lang w:val="en-AU" w:eastAsia="ja-JP"/>
        </w:rPr>
        <w:t xml:space="preserve"> </w:t>
      </w:r>
      <w:r w:rsidR="005205D3" w:rsidRPr="00FF4DE3">
        <w:rPr>
          <w:rFonts w:eastAsia="MS Mincho"/>
          <w:lang w:val="en-AU" w:eastAsia="ja-JP"/>
        </w:rPr>
        <w:t xml:space="preserve">The frequency band 1980 – 2 010 MHz and 2 170 – 2 200 MHz is the only available frequency band </w:t>
      </w:r>
      <w:r w:rsidR="005205D3" w:rsidRPr="00FF4DE3">
        <w:rPr>
          <w:rFonts w:eastAsia="MS Mincho" w:hint="eastAsia"/>
          <w:lang w:val="en-AU" w:eastAsia="ja-JP"/>
        </w:rPr>
        <w:t>for</w:t>
      </w:r>
      <w:r w:rsidR="005205D3" w:rsidRPr="00FF4DE3">
        <w:rPr>
          <w:rFonts w:eastAsia="MS Mincho"/>
          <w:lang w:val="en-AU" w:eastAsia="ja-JP"/>
        </w:rPr>
        <w:t xml:space="preserve"> the satellite component of IMT in 2.1GHz band</w:t>
      </w:r>
      <w:r w:rsidR="005205D3" w:rsidRPr="00FF4DE3">
        <w:rPr>
          <w:rFonts w:eastAsia="MS Mincho" w:hint="eastAsia"/>
          <w:lang w:val="en-AU" w:eastAsia="ja-JP"/>
        </w:rPr>
        <w:t>.</w:t>
      </w:r>
      <w:r w:rsidR="005205D3" w:rsidRPr="00FF4DE3">
        <w:rPr>
          <w:rFonts w:eastAsia="MS Mincho"/>
          <w:lang w:val="en-AU" w:eastAsia="ja-JP"/>
        </w:rPr>
        <w:t xml:space="preserve"> The satellite component of IMT is very important to several APT countries, such as some countries with the depopulated and economically underdeveloped areas, or islands. </w:t>
      </w:r>
      <w:r w:rsidR="00B83DAC" w:rsidRPr="00FF4DE3">
        <w:rPr>
          <w:rFonts w:eastAsia="MS Mincho"/>
          <w:lang w:val="en-AU" w:eastAsia="ja-JP"/>
        </w:rPr>
        <w:t>T</w:t>
      </w:r>
      <w:r w:rsidR="005205D3" w:rsidRPr="00FF4DE3">
        <w:rPr>
          <w:rFonts w:eastAsia="MS Mincho"/>
          <w:lang w:val="en-AU" w:eastAsia="ja-JP"/>
        </w:rPr>
        <w:t>he existing and the planned satellite</w:t>
      </w:r>
      <w:r w:rsidR="00B83DAC" w:rsidRPr="00FF4DE3">
        <w:rPr>
          <w:rFonts w:eastAsia="MS Mincho"/>
          <w:lang w:val="en-AU" w:eastAsia="ja-JP"/>
        </w:rPr>
        <w:t xml:space="preserve"> and terrestrial</w:t>
      </w:r>
      <w:r w:rsidR="005205D3" w:rsidRPr="00FF4DE3">
        <w:rPr>
          <w:rFonts w:eastAsia="MS Mincho"/>
          <w:lang w:val="en-AU" w:eastAsia="ja-JP"/>
        </w:rPr>
        <w:t xml:space="preserve"> IMT system</w:t>
      </w:r>
      <w:r w:rsidR="00B83DAC" w:rsidRPr="00FF4DE3">
        <w:rPr>
          <w:rFonts w:eastAsia="MS Mincho"/>
          <w:lang w:val="en-AU" w:eastAsia="ja-JP"/>
        </w:rPr>
        <w:t>s</w:t>
      </w:r>
      <w:r w:rsidR="005205D3" w:rsidRPr="00FF4DE3">
        <w:rPr>
          <w:rFonts w:eastAsia="MS Mincho"/>
          <w:lang w:val="en-AU" w:eastAsia="ja-JP"/>
        </w:rPr>
        <w:t xml:space="preserve"> shall be protected from harmful interference</w:t>
      </w:r>
      <w:r w:rsidR="00B83DAC" w:rsidRPr="00FF4DE3">
        <w:rPr>
          <w:rFonts w:eastAsia="MS Mincho"/>
          <w:lang w:val="en-AU" w:eastAsia="ja-JP"/>
        </w:rPr>
        <w:t xml:space="preserve"> from each other and from other relevant services</w:t>
      </w:r>
      <w:r w:rsidR="005205D3" w:rsidRPr="00FF4DE3">
        <w:rPr>
          <w:rFonts w:eastAsia="MS Mincho"/>
          <w:lang w:val="en-AU" w:eastAsia="ja-JP"/>
        </w:rPr>
        <w:t>.</w:t>
      </w:r>
    </w:p>
    <w:p w14:paraId="7B12B201" w14:textId="77777777" w:rsidR="0096367D" w:rsidRPr="006C1370" w:rsidRDefault="0096367D" w:rsidP="0096367D">
      <w:pPr>
        <w:pStyle w:val="Heading1"/>
        <w:keepLines/>
        <w:tabs>
          <w:tab w:val="left" w:pos="794"/>
          <w:tab w:val="left" w:pos="1191"/>
          <w:tab w:val="left" w:pos="1588"/>
          <w:tab w:val="left" w:pos="1985"/>
        </w:tabs>
        <w:overflowPunct w:val="0"/>
        <w:autoSpaceDE w:val="0"/>
        <w:autoSpaceDN w:val="0"/>
        <w:adjustRightInd w:val="0"/>
        <w:spacing w:before="240"/>
        <w:ind w:left="432" w:hanging="432"/>
        <w:jc w:val="both"/>
        <w:textAlignment w:val="baseline"/>
        <w:rPr>
          <w:rFonts w:eastAsia="SimSun"/>
          <w:bCs w:val="0"/>
          <w:szCs w:val="20"/>
          <w:u w:val="none"/>
          <w:lang w:eastAsia="zh-CN"/>
        </w:rPr>
      </w:pPr>
      <w:r w:rsidRPr="006C1370">
        <w:rPr>
          <w:rFonts w:eastAsia="맑은 고딕"/>
          <w:bCs w:val="0"/>
          <w:szCs w:val="20"/>
          <w:u w:val="none"/>
          <w:lang w:eastAsia="ko-KR"/>
        </w:rPr>
        <w:t>2</w:t>
      </w:r>
      <w:r w:rsidRPr="006C1370">
        <w:rPr>
          <w:rFonts w:eastAsia="맑은 고딕"/>
          <w:bCs w:val="0"/>
          <w:szCs w:val="20"/>
          <w:u w:val="none"/>
          <w:lang w:eastAsia="ko-KR"/>
        </w:rPr>
        <w:tab/>
        <w:t>Scope</w:t>
      </w:r>
    </w:p>
    <w:p w14:paraId="1743D909" w14:textId="73D0B862" w:rsidR="009975F4" w:rsidRDefault="0096367D" w:rsidP="0096367D">
      <w:pPr>
        <w:spacing w:beforeLines="50" w:before="120"/>
        <w:jc w:val="both"/>
        <w:rPr>
          <w:rFonts w:eastAsia="SimSun"/>
          <w:lang w:eastAsia="zh-CN"/>
        </w:rPr>
      </w:pPr>
      <w:r w:rsidRPr="000B4CE3">
        <w:rPr>
          <w:rFonts w:eastAsia="SimSun"/>
          <w:lang w:eastAsia="zh-CN"/>
        </w:rPr>
        <w:t xml:space="preserve">This Report covers aspects related to the implementation of terrestrial IMT in the </w:t>
      </w:r>
      <w:r w:rsidRPr="000B4CE3">
        <w:rPr>
          <w:rFonts w:eastAsia="SimSun" w:hint="eastAsia"/>
          <w:lang w:eastAsia="zh-CN"/>
        </w:rPr>
        <w:t xml:space="preserve">band </w:t>
      </w:r>
      <w:r w:rsidRPr="000B4CE3">
        <w:rPr>
          <w:rFonts w:eastAsia="SimSun"/>
          <w:lang w:eastAsia="zh-CN"/>
        </w:rPr>
        <w:t>1920 – 2</w:t>
      </w:r>
      <w:r w:rsidR="000B4CE3" w:rsidRPr="000B4CE3">
        <w:rPr>
          <w:rFonts w:eastAsia="SimSun"/>
          <w:lang w:eastAsia="zh-CN"/>
        </w:rPr>
        <w:t>0</w:t>
      </w:r>
      <w:r w:rsidRPr="000B4CE3">
        <w:rPr>
          <w:rFonts w:eastAsia="SimSun"/>
          <w:lang w:eastAsia="zh-CN"/>
        </w:rPr>
        <w:t>10 / 2110 – 2200</w:t>
      </w:r>
      <w:r w:rsidRPr="000B4CE3">
        <w:rPr>
          <w:rFonts w:eastAsia="SimSun" w:hint="eastAsia"/>
          <w:lang w:eastAsia="zh-CN"/>
        </w:rPr>
        <w:t xml:space="preserve"> MHz.</w:t>
      </w:r>
      <w:r w:rsidRPr="000B4CE3">
        <w:rPr>
          <w:rFonts w:eastAsia="SimSun"/>
          <w:lang w:eastAsia="zh-CN"/>
        </w:rPr>
        <w:t xml:space="preserve"> </w:t>
      </w:r>
      <w:r w:rsidRPr="000B4CE3">
        <w:rPr>
          <w:rFonts w:eastAsia="SimSun" w:hint="eastAsia"/>
          <w:lang w:eastAsia="zh-CN"/>
        </w:rPr>
        <w:t xml:space="preserve">The objective is to </w:t>
      </w:r>
      <w:r w:rsidRPr="000B4CE3">
        <w:rPr>
          <w:rFonts w:eastAsia="SimSun"/>
          <w:lang w:eastAsia="zh-CN"/>
        </w:rPr>
        <w:t>develop</w:t>
      </w:r>
      <w:r w:rsidRPr="000B4CE3">
        <w:rPr>
          <w:rFonts w:eastAsia="SimSun" w:hint="eastAsia"/>
          <w:lang w:eastAsia="zh-CN"/>
        </w:rPr>
        <w:t xml:space="preserve"> </w:t>
      </w:r>
      <w:r w:rsidR="00951AAC" w:rsidRPr="000B4CE3">
        <w:rPr>
          <w:rFonts w:eastAsia="SimSun"/>
          <w:lang w:eastAsia="zh-CN"/>
        </w:rPr>
        <w:t>possible</w:t>
      </w:r>
      <w:r w:rsidR="00951AAC" w:rsidRPr="000B4CE3">
        <w:rPr>
          <w:rFonts w:eastAsia="SimSun" w:hint="eastAsia"/>
          <w:lang w:eastAsia="zh-CN"/>
        </w:rPr>
        <w:t xml:space="preserve"> </w:t>
      </w:r>
      <w:r w:rsidRPr="000B4CE3">
        <w:rPr>
          <w:rFonts w:eastAsia="SimSun"/>
          <w:lang w:eastAsia="zh-CN"/>
        </w:rPr>
        <w:t>harmonized frequency arrangement</w:t>
      </w:r>
      <w:r w:rsidR="00802EA1" w:rsidRPr="000B4CE3">
        <w:rPr>
          <w:rFonts w:eastAsia="SimSun"/>
          <w:lang w:eastAsia="zh-CN"/>
        </w:rPr>
        <w:t>s</w:t>
      </w:r>
      <w:r w:rsidRPr="000B4CE3">
        <w:rPr>
          <w:rFonts w:eastAsia="SimSun"/>
          <w:lang w:eastAsia="zh-CN"/>
        </w:rPr>
        <w:t xml:space="preserve"> in this range for </w:t>
      </w:r>
      <w:r w:rsidRPr="000B4CE3">
        <w:rPr>
          <w:rFonts w:eastAsia="SimSun" w:hint="eastAsia"/>
          <w:lang w:eastAsia="zh-CN"/>
        </w:rPr>
        <w:t>Asia Pacific Region based on the frequency allocation and</w:t>
      </w:r>
      <w:r w:rsidRPr="006C1370">
        <w:rPr>
          <w:rFonts w:eastAsia="SimSun" w:hint="eastAsia"/>
          <w:lang w:eastAsia="zh-CN"/>
        </w:rPr>
        <w:t xml:space="preserve"> arrangement in ITU and other Regions</w:t>
      </w:r>
      <w:r w:rsidRPr="006C1370">
        <w:rPr>
          <w:rFonts w:eastAsia="SimSun"/>
          <w:lang w:eastAsia="zh-CN"/>
        </w:rPr>
        <w:t xml:space="preserve">, for those countries in the APT region that wish to implement </w:t>
      </w:r>
      <w:r>
        <w:rPr>
          <w:rFonts w:eastAsia="SimSun"/>
          <w:lang w:eastAsia="zh-CN"/>
        </w:rPr>
        <w:t xml:space="preserve">terrestrial </w:t>
      </w:r>
      <w:r w:rsidRPr="006C1370">
        <w:rPr>
          <w:rFonts w:eastAsia="SimSun"/>
          <w:lang w:eastAsia="zh-CN"/>
        </w:rPr>
        <w:t xml:space="preserve">IMT in the existing allocation to the mobile service on a primary basis in </w:t>
      </w:r>
      <w:proofErr w:type="gramStart"/>
      <w:r w:rsidRPr="006C1370">
        <w:rPr>
          <w:rFonts w:eastAsia="SimSun"/>
          <w:lang w:eastAsia="zh-CN"/>
        </w:rPr>
        <w:t>Region</w:t>
      </w:r>
      <w:proofErr w:type="gramEnd"/>
      <w:r w:rsidRPr="006C1370">
        <w:rPr>
          <w:rFonts w:eastAsia="SimSun"/>
          <w:lang w:eastAsia="zh-CN"/>
        </w:rPr>
        <w:t xml:space="preserve"> 3</w:t>
      </w:r>
      <w:r w:rsidR="009975F4">
        <w:rPr>
          <w:rFonts w:eastAsia="SimSun"/>
          <w:lang w:eastAsia="zh-CN"/>
        </w:rPr>
        <w:t xml:space="preserve"> </w:t>
      </w:r>
      <w:r w:rsidR="009975F4" w:rsidRPr="006739C9">
        <w:rPr>
          <w:lang w:eastAsia="ko-KR"/>
        </w:rPr>
        <w:t xml:space="preserve">taking account of regulatory guidelines from </w:t>
      </w:r>
      <w:r w:rsidR="009975F4" w:rsidRPr="006C2710">
        <w:rPr>
          <w:rFonts w:eastAsia="MS Gothic"/>
          <w:lang w:eastAsia="ko-KR"/>
        </w:rPr>
        <w:t xml:space="preserve">Resolution 212 (Rev.WRC-19) and </w:t>
      </w:r>
      <w:r w:rsidR="009975F4" w:rsidRPr="006C2710">
        <w:rPr>
          <w:lang w:eastAsia="ko-KR"/>
        </w:rPr>
        <w:t>sharing and compatibility with other services/systems</w:t>
      </w:r>
      <w:r w:rsidRPr="006C1370">
        <w:rPr>
          <w:rFonts w:eastAsia="SimSun" w:hint="eastAsia"/>
          <w:lang w:eastAsia="zh-CN"/>
        </w:rPr>
        <w:t>.</w:t>
      </w:r>
    </w:p>
    <w:p w14:paraId="20E9EDBC" w14:textId="77777777" w:rsidR="009975F4" w:rsidRDefault="009975F4" w:rsidP="0096367D">
      <w:pPr>
        <w:spacing w:beforeLines="50" w:before="120"/>
        <w:jc w:val="both"/>
        <w:rPr>
          <w:rFonts w:eastAsia="SimSun"/>
          <w:lang w:eastAsia="zh-CN"/>
        </w:rPr>
      </w:pPr>
    </w:p>
    <w:p w14:paraId="4952195E" w14:textId="77777777" w:rsidR="0096367D" w:rsidRPr="006C1370" w:rsidRDefault="0096367D" w:rsidP="0096367D">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맑은 고딕"/>
          <w:b/>
          <w:szCs w:val="20"/>
        </w:rPr>
      </w:pPr>
      <w:r w:rsidRPr="006C1370">
        <w:rPr>
          <w:rFonts w:eastAsia="맑은 고딕"/>
          <w:b/>
          <w:szCs w:val="20"/>
          <w:lang w:eastAsia="ko-KR"/>
        </w:rPr>
        <w:t>3</w:t>
      </w:r>
      <w:r w:rsidRPr="006C1370">
        <w:rPr>
          <w:rFonts w:eastAsia="맑은 고딕"/>
          <w:b/>
          <w:szCs w:val="20"/>
        </w:rPr>
        <w:tab/>
        <w:t>Vocabulary of terms</w:t>
      </w:r>
    </w:p>
    <w:p w14:paraId="6DA3FD58" w14:textId="77777777" w:rsidR="0096367D" w:rsidRPr="006C1370"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sidRPr="006C1370">
        <w:rPr>
          <w:rFonts w:eastAsia="SimSun" w:hint="eastAsia"/>
          <w:color w:val="000000"/>
          <w:lang w:eastAsia="zh-CN"/>
        </w:rPr>
        <w:t xml:space="preserve">APT      </w:t>
      </w:r>
      <w:r w:rsidRPr="006C1370">
        <w:rPr>
          <w:rFonts w:hint="eastAsia"/>
          <w:color w:val="000000"/>
          <w:lang w:eastAsia="ko-KR"/>
        </w:rPr>
        <w:t>Asia Pacific</w:t>
      </w:r>
      <w:r w:rsidRPr="006C1370">
        <w:rPr>
          <w:rFonts w:eastAsia="SimSun" w:hint="eastAsia"/>
          <w:color w:val="000000"/>
          <w:lang w:eastAsia="zh-CN"/>
        </w:rPr>
        <w:t xml:space="preserve"> Telecommunity</w:t>
      </w:r>
    </w:p>
    <w:p w14:paraId="473AFCC6"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val="fr-FR" w:eastAsia="ko-KR"/>
        </w:rPr>
      </w:pPr>
      <w:r w:rsidRPr="000B03BA">
        <w:rPr>
          <w:color w:val="000000"/>
          <w:lang w:val="fr-FR" w:eastAsia="ko-KR"/>
        </w:rPr>
        <w:t>IMT</w:t>
      </w:r>
      <w:r w:rsidRPr="000B03BA">
        <w:rPr>
          <w:color w:val="000000"/>
          <w:lang w:val="fr-FR" w:eastAsia="ko-KR"/>
        </w:rPr>
        <w:tab/>
        <w:t>International Mobile Telecommunications</w:t>
      </w:r>
    </w:p>
    <w:p w14:paraId="3D000FAC"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val="fr-FR" w:eastAsia="ko-KR"/>
        </w:rPr>
      </w:pPr>
      <w:r w:rsidRPr="000B03BA">
        <w:rPr>
          <w:color w:val="000000"/>
          <w:lang w:val="fr-FR" w:eastAsia="ko-KR"/>
        </w:rPr>
        <w:t xml:space="preserve">RA </w:t>
      </w:r>
      <w:r w:rsidRPr="000B03BA">
        <w:rPr>
          <w:color w:val="000000"/>
          <w:lang w:val="fr-FR" w:eastAsia="ko-KR"/>
        </w:rPr>
        <w:tab/>
        <w:t>Radiocommunication Assembly</w:t>
      </w:r>
    </w:p>
    <w:p w14:paraId="466607DC"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val="fr-FR" w:eastAsia="zh-CN"/>
        </w:rPr>
      </w:pPr>
      <w:r w:rsidRPr="000B03BA">
        <w:rPr>
          <w:color w:val="000000"/>
          <w:lang w:val="fr-FR" w:eastAsia="ko-KR"/>
        </w:rPr>
        <w:t>WRC</w:t>
      </w:r>
      <w:r w:rsidRPr="000B03BA">
        <w:rPr>
          <w:color w:val="000000"/>
          <w:lang w:val="fr-FR" w:eastAsia="ko-KR"/>
        </w:rPr>
        <w:tab/>
        <w:t>World Radiocommunication Conference</w:t>
      </w:r>
    </w:p>
    <w:p w14:paraId="53485C9C"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ascii="바탕" w:eastAsia="바탕" w:hAnsi="바탕" w:cs="바탕"/>
          <w:color w:val="000000"/>
          <w:lang w:val="fr-FR" w:eastAsia="ko-KR"/>
        </w:rPr>
      </w:pPr>
      <w:r w:rsidRPr="000B03BA">
        <w:rPr>
          <w:rFonts w:eastAsia="맑은 고딕"/>
          <w:color w:val="000000"/>
          <w:lang w:val="fr-FR" w:eastAsia="ko-KR"/>
        </w:rPr>
        <w:t>AMS</w:t>
      </w:r>
      <w:r w:rsidRPr="000B03BA">
        <w:rPr>
          <w:rFonts w:eastAsia="맑은 고딕"/>
          <w:color w:val="000000"/>
          <w:lang w:val="fr-FR" w:eastAsia="ko-KR"/>
        </w:rPr>
        <w:tab/>
        <w:t>Aeronautical Mobile Service</w:t>
      </w:r>
    </w:p>
    <w:p w14:paraId="1A15B6C6"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color w:val="000000"/>
          <w:lang w:val="fr-FR" w:eastAsia="ko-KR"/>
        </w:rPr>
      </w:pPr>
      <w:r w:rsidRPr="000B03BA">
        <w:rPr>
          <w:rFonts w:eastAsia="맑은 고딕" w:hint="eastAsia"/>
          <w:color w:val="000000"/>
          <w:lang w:val="fr-FR" w:eastAsia="ko-KR"/>
        </w:rPr>
        <w:t>M</w:t>
      </w:r>
      <w:r w:rsidRPr="000B03BA">
        <w:rPr>
          <w:rFonts w:eastAsia="맑은 고딕"/>
          <w:color w:val="000000"/>
          <w:lang w:val="fr-FR" w:eastAsia="ko-KR"/>
        </w:rPr>
        <w:t>MS</w:t>
      </w:r>
      <w:r w:rsidRPr="000B03BA">
        <w:rPr>
          <w:rFonts w:eastAsia="맑은 고딕"/>
          <w:color w:val="000000"/>
          <w:lang w:val="fr-FR" w:eastAsia="ko-KR"/>
        </w:rPr>
        <w:tab/>
        <w:t>Maritime Mobile Service</w:t>
      </w:r>
    </w:p>
    <w:p w14:paraId="4E118533"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color w:val="000000"/>
          <w:lang w:val="fr-FR" w:eastAsia="ko-KR"/>
        </w:rPr>
      </w:pPr>
      <w:r w:rsidRPr="000B03BA">
        <w:rPr>
          <w:rFonts w:eastAsia="맑은 고딕" w:hint="eastAsia"/>
          <w:color w:val="000000"/>
          <w:lang w:val="fr-FR" w:eastAsia="ko-KR"/>
        </w:rPr>
        <w:t>T</w:t>
      </w:r>
      <w:r w:rsidRPr="000B03BA">
        <w:rPr>
          <w:rFonts w:eastAsia="맑은 고딕"/>
          <w:color w:val="000000"/>
          <w:lang w:val="fr-FR" w:eastAsia="ko-KR"/>
        </w:rPr>
        <w:t>DD</w:t>
      </w:r>
      <w:r w:rsidRPr="000B03BA">
        <w:rPr>
          <w:rFonts w:eastAsia="맑은 고딕"/>
          <w:color w:val="000000"/>
          <w:lang w:val="fr-FR" w:eastAsia="ko-KR"/>
        </w:rPr>
        <w:tab/>
        <w:t>Time-Division Duplex</w:t>
      </w:r>
    </w:p>
    <w:p w14:paraId="112FC302"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color w:val="000000"/>
          <w:lang w:val="fr-FR" w:eastAsia="ko-KR"/>
        </w:rPr>
      </w:pPr>
    </w:p>
    <w:p w14:paraId="7058D028" w14:textId="77777777" w:rsidR="0096367D" w:rsidRPr="001A0EC3" w:rsidRDefault="0096367D" w:rsidP="0096367D">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맑은 고딕"/>
          <w:b/>
          <w:szCs w:val="20"/>
          <w:lang w:val="en-AU"/>
        </w:rPr>
      </w:pPr>
      <w:r w:rsidRPr="001A0EC3">
        <w:rPr>
          <w:rFonts w:eastAsia="맑은 고딕"/>
          <w:b/>
          <w:szCs w:val="20"/>
          <w:lang w:val="en-AU" w:eastAsia="ko-KR"/>
        </w:rPr>
        <w:t>4</w:t>
      </w:r>
      <w:r w:rsidRPr="001A0EC3">
        <w:rPr>
          <w:rFonts w:eastAsia="맑은 고딕"/>
          <w:b/>
          <w:szCs w:val="20"/>
          <w:lang w:val="en-AU"/>
        </w:rPr>
        <w:tab/>
        <w:t>References</w:t>
      </w:r>
    </w:p>
    <w:p w14:paraId="1A3683B9" w14:textId="77777777" w:rsidR="0096367D" w:rsidRPr="001A0EC3"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val="en-AU" w:eastAsia="zh-CN"/>
        </w:rPr>
      </w:pPr>
      <w:r w:rsidRPr="001A0EC3">
        <w:rPr>
          <w:rFonts w:eastAsia="SimSun"/>
          <w:lang w:val="en-AU" w:eastAsia="zh-CN"/>
        </w:rPr>
        <w:t xml:space="preserve">ITU-R Radio Regulations (2020) </w:t>
      </w:r>
    </w:p>
    <w:p w14:paraId="386806FB" w14:textId="77777777" w:rsidR="0096367D" w:rsidRPr="006C1370"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6C1370">
        <w:rPr>
          <w:rFonts w:eastAsia="SimSun" w:hint="eastAsia"/>
          <w:szCs w:val="20"/>
          <w:lang w:eastAsia="zh-CN"/>
        </w:rPr>
        <w:t>Recommendation ITU-R M.1036-6</w:t>
      </w:r>
      <w:r w:rsidRPr="006C1370">
        <w:rPr>
          <w:rFonts w:eastAsia="SimSun"/>
          <w:szCs w:val="20"/>
          <w:lang w:eastAsia="zh-CN"/>
        </w:rPr>
        <w:t xml:space="preserve"> (10/2019)</w:t>
      </w:r>
      <w:r w:rsidRPr="006C1370">
        <w:rPr>
          <w:rFonts w:eastAsia="SimSun" w:hint="eastAsia"/>
          <w:szCs w:val="20"/>
          <w:lang w:eastAsia="zh-CN"/>
        </w:rPr>
        <w:t xml:space="preserve">, </w:t>
      </w:r>
      <w:r w:rsidRPr="006C1370">
        <w:rPr>
          <w:rFonts w:eastAsia="SimSun"/>
          <w:szCs w:val="20"/>
          <w:lang w:eastAsia="zh-CN"/>
        </w:rPr>
        <w:t>“Frequency arrangements for implementation of the terrestrial component of International Mobile Telecommunications (IMT) in the bands identified for IMT in the Radio Regulations (RR)”</w:t>
      </w:r>
      <w:r w:rsidRPr="006C1370">
        <w:rPr>
          <w:rFonts w:eastAsia="SimSun" w:hint="eastAsia"/>
          <w:szCs w:val="20"/>
          <w:lang w:eastAsia="zh-CN"/>
        </w:rPr>
        <w:t>.</w:t>
      </w:r>
    </w:p>
    <w:p w14:paraId="09E09C8F" w14:textId="77777777" w:rsidR="00CC5E35" w:rsidRDefault="0096367D" w:rsidP="00CC5E35">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rPr>
      </w:pPr>
      <w:r w:rsidRPr="006C1370">
        <w:rPr>
          <w:rFonts w:eastAsia="SimSun" w:hint="eastAsia"/>
          <w:szCs w:val="20"/>
          <w:lang w:eastAsia="zh-CN"/>
        </w:rPr>
        <w:t xml:space="preserve"> </w:t>
      </w:r>
    </w:p>
    <w:p w14:paraId="08E2D778" w14:textId="77777777" w:rsidR="00CC5E35" w:rsidRDefault="00CC5E35" w:rsidP="00CC5E35">
      <w:pPr>
        <w:pStyle w:val="Tabletext"/>
        <w:snapToGrid w:val="0"/>
        <w:spacing w:before="0" w:after="0"/>
        <w:rPr>
          <w:rFonts w:eastAsia="SimSun"/>
          <w:sz w:val="24"/>
          <w:szCs w:val="24"/>
          <w:lang w:eastAsia="zh-CN"/>
        </w:rPr>
      </w:pPr>
      <w:r w:rsidRPr="0038133F">
        <w:rPr>
          <w:rFonts w:eastAsia="SimSun"/>
          <w:sz w:val="24"/>
          <w:szCs w:val="24"/>
          <w:lang w:eastAsia="zh-CN"/>
        </w:rPr>
        <w:t>Resolution 212 (</w:t>
      </w:r>
      <w:r w:rsidRPr="0038133F">
        <w:rPr>
          <w:rFonts w:eastAsia="MS PGothic"/>
          <w:sz w:val="24"/>
          <w:szCs w:val="24"/>
          <w:lang w:eastAsia="ja-JP"/>
        </w:rPr>
        <w:t>Rev.</w:t>
      </w:r>
      <w:r w:rsidRPr="0038133F">
        <w:rPr>
          <w:rFonts w:eastAsia="SimSun"/>
          <w:sz w:val="24"/>
          <w:szCs w:val="24"/>
          <w:lang w:eastAsia="zh-CN"/>
        </w:rPr>
        <w:t>WRC-19)</w:t>
      </w:r>
      <w:r>
        <w:rPr>
          <w:rFonts w:eastAsia="SimSun"/>
          <w:sz w:val="24"/>
          <w:szCs w:val="24"/>
          <w:lang w:eastAsia="zh-CN"/>
        </w:rPr>
        <w:tab/>
      </w:r>
      <w:r w:rsidRPr="00CC5E35">
        <w:rPr>
          <w:rFonts w:eastAsia="SimSun"/>
          <w:sz w:val="24"/>
          <w:szCs w:val="24"/>
          <w:lang w:eastAsia="zh-CN"/>
        </w:rPr>
        <w:t>Implementation of International Mobile Telecommunications in the frequency bands 1 885-2 025 MHz and 2 110-2 200 MHz</w:t>
      </w:r>
    </w:p>
    <w:p w14:paraId="0170CEF2" w14:textId="77777777" w:rsidR="00CC5E35" w:rsidRDefault="00CC5E35" w:rsidP="00CC5E35">
      <w:pPr>
        <w:pStyle w:val="Tabletext"/>
        <w:snapToGrid w:val="0"/>
        <w:spacing w:before="0" w:after="0"/>
        <w:rPr>
          <w:rFonts w:eastAsia="SimSun"/>
          <w:sz w:val="24"/>
          <w:szCs w:val="24"/>
          <w:lang w:eastAsia="zh-CN"/>
        </w:rPr>
      </w:pPr>
    </w:p>
    <w:p w14:paraId="5FBFBDCE" w14:textId="1B522D1F" w:rsidR="00CC5E35" w:rsidRPr="00A63A0D" w:rsidRDefault="00A63A0D" w:rsidP="00CC5E35">
      <w:pPr>
        <w:pStyle w:val="Tabletext"/>
        <w:snapToGrid w:val="0"/>
        <w:spacing w:before="0" w:after="0"/>
        <w:rPr>
          <w:rFonts w:eastAsia="SimSun"/>
          <w:bCs/>
          <w:sz w:val="24"/>
          <w:szCs w:val="24"/>
          <w:lang w:eastAsia="zh-CN"/>
        </w:rPr>
      </w:pPr>
      <w:r w:rsidRPr="00A63A0D">
        <w:rPr>
          <w:bCs/>
        </w:rPr>
        <w:t xml:space="preserve">APT/AWG/REP-125: </w:t>
      </w:r>
      <w:r w:rsidRPr="00A63A0D">
        <w:rPr>
          <w:rFonts w:eastAsia="SimSun"/>
          <w:bCs/>
          <w:sz w:val="24"/>
          <w:szCs w:val="24"/>
          <w:lang w:eastAsia="zh-CN"/>
        </w:rPr>
        <w:t>APT Report of study on technical and operational measures for coexistence between terrestrial and satellite IMT systems deployed in the frequency bands of 1 980-2 010 MHz and 2 170-2 200</w:t>
      </w:r>
    </w:p>
    <w:p w14:paraId="59E161E6" w14:textId="77777777" w:rsidR="00CC5E35" w:rsidRPr="00CC5E35" w:rsidRDefault="00CC5E35"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p>
    <w:p w14:paraId="5A850097" w14:textId="03673EBF" w:rsidR="00400851" w:rsidRPr="004F5914" w:rsidRDefault="004F5914" w:rsidP="004F5914">
      <w:pPr>
        <w:keepNext/>
        <w:keepLines/>
        <w:tabs>
          <w:tab w:val="left" w:pos="794"/>
          <w:tab w:val="left" w:pos="1191"/>
          <w:tab w:val="left" w:pos="1588"/>
          <w:tab w:val="left" w:pos="1985"/>
        </w:tabs>
        <w:spacing w:before="360"/>
        <w:contextualSpacing/>
        <w:jc w:val="both"/>
        <w:outlineLvl w:val="0"/>
        <w:rPr>
          <w:rFonts w:eastAsia="MS Mincho"/>
          <w:b/>
          <w:bCs/>
          <w:lang w:val="en-AU" w:eastAsia="ja-JP"/>
        </w:rPr>
      </w:pPr>
      <w:r w:rsidRPr="004F5914">
        <w:rPr>
          <w:rFonts w:eastAsia="MS Mincho"/>
          <w:b/>
          <w:bCs/>
          <w:lang w:val="en-AU" w:eastAsia="ja-JP"/>
        </w:rPr>
        <w:lastRenderedPageBreak/>
        <w:t xml:space="preserve">5. </w:t>
      </w:r>
      <w:r w:rsidRPr="004F5914">
        <w:rPr>
          <w:rFonts w:eastAsia="MS Mincho"/>
          <w:b/>
          <w:bCs/>
          <w:lang w:val="en-AU" w:eastAsia="ja-JP"/>
        </w:rPr>
        <w:tab/>
      </w:r>
      <w:r w:rsidR="0096367D" w:rsidRPr="004F5914">
        <w:rPr>
          <w:rFonts w:eastAsia="MS Mincho"/>
          <w:b/>
          <w:bCs/>
          <w:lang w:val="en-AU" w:eastAsia="ja-JP"/>
        </w:rPr>
        <w:t xml:space="preserve">Key Considerations for the Frequency Arrangement </w:t>
      </w:r>
      <w:r w:rsidR="00EC59AD" w:rsidRPr="004F5914">
        <w:rPr>
          <w:rFonts w:eastAsia="MS Mincho"/>
          <w:b/>
          <w:bCs/>
          <w:lang w:val="en-AU" w:eastAsia="ja-JP"/>
        </w:rPr>
        <w:t xml:space="preserve">in frequency bands </w:t>
      </w:r>
      <w:r w:rsidR="0096367D" w:rsidRPr="004F5914">
        <w:rPr>
          <w:rFonts w:eastAsia="MS Mincho"/>
          <w:b/>
          <w:bCs/>
          <w:lang w:val="en-AU" w:eastAsia="ja-JP"/>
        </w:rPr>
        <w:t>1920 –</w:t>
      </w:r>
      <w:r w:rsidR="00EC59AD" w:rsidRPr="004F5914">
        <w:rPr>
          <w:rFonts w:eastAsia="MS Mincho"/>
          <w:b/>
          <w:bCs/>
          <w:lang w:val="en-AU" w:eastAsia="ja-JP"/>
        </w:rPr>
        <w:t>2010</w:t>
      </w:r>
      <w:r w:rsidR="0096367D" w:rsidRPr="004F5914">
        <w:rPr>
          <w:rFonts w:eastAsia="MS Mincho"/>
          <w:b/>
          <w:bCs/>
          <w:lang w:val="en-AU" w:eastAsia="ja-JP"/>
        </w:rPr>
        <w:t>/2110 –</w:t>
      </w:r>
      <w:r w:rsidR="00EC59AD" w:rsidRPr="004F5914">
        <w:rPr>
          <w:rFonts w:eastAsia="MS Mincho"/>
          <w:b/>
          <w:bCs/>
          <w:lang w:val="en-AU" w:eastAsia="ja-JP"/>
        </w:rPr>
        <w:t>2200</w:t>
      </w:r>
      <w:r w:rsidR="0096367D" w:rsidRPr="004F5914">
        <w:rPr>
          <w:rFonts w:eastAsia="MS Mincho"/>
          <w:b/>
          <w:bCs/>
          <w:lang w:val="en-AU" w:eastAsia="ja-JP"/>
        </w:rPr>
        <w:t xml:space="preserve"> MHz</w:t>
      </w:r>
    </w:p>
    <w:p w14:paraId="3B7485DC" w14:textId="77777777" w:rsidR="00400851" w:rsidRPr="00A214A1" w:rsidRDefault="00400851" w:rsidP="00400851">
      <w:pPr>
        <w:spacing w:before="120" w:after="120"/>
        <w:jc w:val="both"/>
        <w:rPr>
          <w:rFonts w:eastAsia="MS Mincho"/>
          <w:lang w:val="en-AU" w:eastAsia="ja-JP"/>
        </w:rPr>
      </w:pPr>
      <w:r w:rsidRPr="000237BD">
        <w:rPr>
          <w:rFonts w:eastAsia="MS Mincho"/>
          <w:lang w:val="en-AU" w:eastAsia="ja-JP"/>
        </w:rPr>
        <w:t xml:space="preserve">In frequency bands 1920 – 2010 and 2110 - 2200 MHz, </w:t>
      </w:r>
      <w:r w:rsidRPr="00A214A1">
        <w:rPr>
          <w:rFonts w:eastAsia="MS Mincho"/>
          <w:lang w:val="en-AU" w:eastAsia="ja-JP"/>
        </w:rPr>
        <w:t>Recommendation ITU-R M.1036-6 has frequency arrangements of B1 to B7</w:t>
      </w:r>
      <w:r>
        <w:rPr>
          <w:rFonts w:eastAsia="MS Mincho"/>
          <w:lang w:val="en-AU" w:eastAsia="ja-JP"/>
        </w:rPr>
        <w:t xml:space="preserve"> </w:t>
      </w:r>
      <w:r w:rsidRPr="000237BD">
        <w:rPr>
          <w:rFonts w:eastAsia="MS Mincho"/>
          <w:lang w:val="en-AU" w:eastAsia="ja-JP"/>
        </w:rPr>
        <w:t>to facilitate the implementation of terrestrial IMT systems,</w:t>
      </w:r>
      <w:r>
        <w:rPr>
          <w:rFonts w:eastAsia="MS Mincho"/>
          <w:lang w:val="en-AU" w:eastAsia="ja-JP"/>
        </w:rPr>
        <w:t xml:space="preserve"> as in Table 1; </w:t>
      </w:r>
      <w:r w:rsidRPr="00A214A1">
        <w:rPr>
          <w:rFonts w:eastAsia="MS Mincho"/>
          <w:lang w:val="en-AU" w:eastAsia="ja-JP"/>
        </w:rPr>
        <w:t xml:space="preserve">but </w:t>
      </w:r>
      <w:r>
        <w:rPr>
          <w:rFonts w:eastAsia="MS Mincho"/>
          <w:lang w:val="en-AU" w:eastAsia="ja-JP"/>
        </w:rPr>
        <w:t>it</w:t>
      </w:r>
      <w:r w:rsidRPr="00A214A1">
        <w:rPr>
          <w:rFonts w:eastAsia="MS Mincho"/>
          <w:lang w:val="en-AU" w:eastAsia="ja-JP"/>
        </w:rPr>
        <w:t xml:space="preserve"> does not have combination of B1 and B6. Recommendation ITU-R M.1036 does not preclude the usage of multiple band plans among B1 to B7.</w:t>
      </w:r>
    </w:p>
    <w:p w14:paraId="00401D12" w14:textId="77777777" w:rsidR="00400851" w:rsidRPr="003F3B20" w:rsidRDefault="00400851" w:rsidP="00400851">
      <w:pPr>
        <w:spacing w:before="120" w:after="120"/>
        <w:jc w:val="both"/>
        <w:rPr>
          <w:rFonts w:eastAsia="MS Mincho"/>
          <w:lang w:val="en-AU" w:eastAsia="ja-JP"/>
        </w:rPr>
      </w:pPr>
      <w:r w:rsidRPr="00A214A1">
        <w:rPr>
          <w:rFonts w:eastAsia="MS Mincho"/>
          <w:lang w:val="en-AU" w:eastAsia="ja-JP"/>
        </w:rPr>
        <w:t xml:space="preserve">Frequency arrangements for 2GHz frequency band have existed since approval of Recommendation ITU-R M.1036-2 in 2003. ITU-R studies for WRC-19 Agenda Item 9.1 issue 9.1.1 was conducted with the acknowledgement of the existence of B1 in Recommendation ITU-R M.1036 and actual implementation of B1 in many countries. ITU-R studies for WRC-19 Agenda Item 9.1 issue </w:t>
      </w:r>
      <w:r w:rsidRPr="003F3B20">
        <w:rPr>
          <w:rFonts w:eastAsia="MS Mincho"/>
          <w:lang w:val="en-AU" w:eastAsia="ja-JP"/>
        </w:rPr>
        <w:t xml:space="preserve">9.1.1 was conducted without </w:t>
      </w:r>
      <w:proofErr w:type="gramStart"/>
      <w:r w:rsidRPr="003F3B20">
        <w:rPr>
          <w:rFonts w:eastAsia="MS Mincho"/>
          <w:lang w:val="en-AU" w:eastAsia="ja-JP"/>
        </w:rPr>
        <w:t>taking into account</w:t>
      </w:r>
      <w:proofErr w:type="gramEnd"/>
      <w:r w:rsidRPr="003F3B20">
        <w:rPr>
          <w:rFonts w:eastAsia="MS Mincho"/>
          <w:lang w:val="en-AU" w:eastAsia="ja-JP"/>
        </w:rPr>
        <w:t xml:space="preserve"> of the existence of B1 in Recommendation ITU-R M.1036 because adjacent band interference is not dominant. </w:t>
      </w:r>
    </w:p>
    <w:p w14:paraId="36A7EE57" w14:textId="574F44AA" w:rsidR="00951AAC" w:rsidRPr="00B67548" w:rsidRDefault="00951AAC" w:rsidP="00400851">
      <w:pPr>
        <w:spacing w:before="120" w:after="120"/>
        <w:jc w:val="both"/>
        <w:rPr>
          <w:rFonts w:eastAsia="MS Mincho"/>
          <w:i/>
          <w:lang w:val="en-AU" w:eastAsia="ja-JP"/>
        </w:rPr>
      </w:pPr>
      <w:r w:rsidRPr="003F3B20">
        <w:rPr>
          <w:rFonts w:eastAsia="MS Mincho"/>
          <w:lang w:val="en-AU" w:eastAsia="ja-JP"/>
        </w:rPr>
        <w:t>The frequency arrangement B6 in the bands 1 980 – 2 010 MHz and 2 170 – 2 200 MHz, which have been identified for both the satellite component of IMT and the terrestrial component of IMT. Co-coverage, co-frequency deployment of independent satellite and terrestrial IMT components is not feasible unless appropriate mitigation techniques are applied. When these components are deployed in adjacent geographical areas in the same frequency band</w:t>
      </w:r>
      <w:r w:rsidRPr="0033674B">
        <w:rPr>
          <w:rFonts w:eastAsia="MS Mincho"/>
          <w:lang w:val="en-AU" w:eastAsia="ja-JP"/>
        </w:rPr>
        <w:t xml:space="preserve">s, technical or operational measures need to be implemented if harmful interference is reported. </w:t>
      </w:r>
    </w:p>
    <w:p w14:paraId="636F5F4A" w14:textId="1E5A0B0B" w:rsidR="00400851" w:rsidRPr="00A214A1" w:rsidRDefault="00A928E5" w:rsidP="00400851">
      <w:pPr>
        <w:spacing w:before="120" w:after="120"/>
        <w:jc w:val="both"/>
        <w:rPr>
          <w:rFonts w:eastAsia="MS Mincho"/>
          <w:lang w:val="en-AU" w:eastAsia="ja-JP"/>
        </w:rPr>
      </w:pPr>
      <w:r w:rsidRPr="00524123" w:rsidDel="00A928E5">
        <w:rPr>
          <w:rFonts w:eastAsiaTheme="minorEastAsia"/>
          <w:lang w:val="en-AU" w:eastAsia="zh-CN"/>
        </w:rPr>
        <w:t xml:space="preserve"> </w:t>
      </w:r>
      <w:r w:rsidR="00951AAC" w:rsidRPr="00524123">
        <w:rPr>
          <w:rFonts w:eastAsia="MS Mincho"/>
          <w:lang w:val="en-AU" w:eastAsia="ja-JP"/>
        </w:rPr>
        <w:t>T</w:t>
      </w:r>
      <w:r w:rsidR="00400851" w:rsidRPr="00524123">
        <w:rPr>
          <w:rFonts w:eastAsia="MS Mincho"/>
          <w:lang w:val="en-AU" w:eastAsia="ja-JP"/>
        </w:rPr>
        <w:t>he sharing and compatibility studies of the new frequency arrangement of 1920MHz – 2010 MHz and 2110MHz – 2200 MHz between the terrestrial component of IMT and the satellite component of IMT have not been carried out.</w:t>
      </w:r>
      <w:r w:rsidR="00400851" w:rsidRPr="00B67548">
        <w:rPr>
          <w:rFonts w:eastAsia="MS Mincho"/>
          <w:i/>
          <w:lang w:val="en-AU" w:eastAsia="ja-JP"/>
        </w:rPr>
        <w:t xml:space="preserve"> </w:t>
      </w:r>
    </w:p>
    <w:p w14:paraId="42A78063" w14:textId="77777777" w:rsidR="00EC59AD" w:rsidRPr="004A099B" w:rsidRDefault="00EC59AD" w:rsidP="00EC59AD">
      <w:pPr>
        <w:pStyle w:val="Tabletitle"/>
        <w:rPr>
          <w:lang w:val="en-US" w:eastAsia="zh-CN"/>
        </w:rPr>
      </w:pPr>
      <w:r w:rsidRPr="004A099B">
        <w:rPr>
          <w:lang w:val="en-US"/>
        </w:rPr>
        <w:t xml:space="preserve">Table 1: Frequency arrangements in the band 1 710-2 200 MHz of </w:t>
      </w:r>
      <w:r w:rsidRPr="004A099B">
        <w:rPr>
          <w:rFonts w:eastAsia="MS Mincho"/>
          <w:szCs w:val="24"/>
          <w:lang w:val="en-AU" w:eastAsia="ja-JP"/>
        </w:rPr>
        <w:t>Recommendation ITU-R M.1036</w:t>
      </w:r>
      <w:r w:rsidRPr="004A099B">
        <w:rPr>
          <w:rFonts w:eastAsia="MS Mincho"/>
          <w:lang w:val="en-AU" w:eastAsia="ja-JP"/>
        </w:rPr>
        <w:t>-6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1558"/>
        <w:gridCol w:w="1175"/>
        <w:gridCol w:w="1353"/>
        <w:gridCol w:w="1183"/>
        <w:gridCol w:w="1289"/>
        <w:gridCol w:w="1036"/>
      </w:tblGrid>
      <w:tr w:rsidR="00EC59AD" w:rsidRPr="004A099B" w14:paraId="779E1E76" w14:textId="77777777" w:rsidTr="00F37272">
        <w:trPr>
          <w:jc w:val="center"/>
        </w:trPr>
        <w:tc>
          <w:tcPr>
            <w:tcW w:w="2045" w:type="dxa"/>
            <w:vMerge w:val="restart"/>
            <w:vAlign w:val="center"/>
          </w:tcPr>
          <w:p w14:paraId="2EF51C06" w14:textId="77777777" w:rsidR="00EC59AD" w:rsidRPr="004A099B" w:rsidRDefault="00EC59AD" w:rsidP="00F37272">
            <w:pPr>
              <w:pStyle w:val="Tablehead"/>
              <w:rPr>
                <w:sz w:val="18"/>
                <w:szCs w:val="18"/>
              </w:rPr>
            </w:pPr>
            <w:r w:rsidRPr="004A099B">
              <w:rPr>
                <w:sz w:val="18"/>
                <w:szCs w:val="18"/>
              </w:rPr>
              <w:t xml:space="preserve">Frequency </w:t>
            </w:r>
            <w:r w:rsidRPr="004A099B">
              <w:rPr>
                <w:sz w:val="18"/>
                <w:szCs w:val="18"/>
              </w:rPr>
              <w:br/>
              <w:t>arrangements</w:t>
            </w:r>
          </w:p>
        </w:tc>
        <w:tc>
          <w:tcPr>
            <w:tcW w:w="5269" w:type="dxa"/>
            <w:gridSpan w:val="4"/>
            <w:vAlign w:val="center"/>
          </w:tcPr>
          <w:p w14:paraId="0C40E5A7" w14:textId="77777777" w:rsidR="00EC59AD" w:rsidRPr="004A099B" w:rsidRDefault="00EC59AD" w:rsidP="00F37272">
            <w:pPr>
              <w:pStyle w:val="Tablehead"/>
              <w:rPr>
                <w:sz w:val="18"/>
                <w:szCs w:val="18"/>
              </w:rPr>
            </w:pPr>
            <w:r w:rsidRPr="004A099B">
              <w:rPr>
                <w:sz w:val="18"/>
                <w:szCs w:val="18"/>
              </w:rPr>
              <w:t>Paired arrangements</w:t>
            </w:r>
          </w:p>
        </w:tc>
        <w:tc>
          <w:tcPr>
            <w:tcW w:w="1289" w:type="dxa"/>
            <w:vMerge w:val="restart"/>
            <w:vAlign w:val="center"/>
          </w:tcPr>
          <w:p w14:paraId="30B6F87B" w14:textId="77777777" w:rsidR="00EC59AD" w:rsidRPr="004A099B" w:rsidRDefault="00EC59AD" w:rsidP="00F37272">
            <w:pPr>
              <w:pStyle w:val="Tablehead"/>
              <w:rPr>
                <w:sz w:val="18"/>
                <w:szCs w:val="18"/>
              </w:rPr>
            </w:pPr>
            <w:r w:rsidRPr="004A099B">
              <w:rPr>
                <w:sz w:val="18"/>
                <w:szCs w:val="18"/>
              </w:rPr>
              <w:t xml:space="preserve">Un-paired arrangements </w:t>
            </w:r>
            <w:r w:rsidRPr="004A099B">
              <w:rPr>
                <w:sz w:val="18"/>
                <w:szCs w:val="18"/>
              </w:rPr>
              <w:br/>
              <w:t>(</w:t>
            </w:r>
            <w:proofErr w:type="gramStart"/>
            <w:r w:rsidRPr="004A099B">
              <w:rPr>
                <w:sz w:val="18"/>
                <w:szCs w:val="18"/>
              </w:rPr>
              <w:t>e.g.</w:t>
            </w:r>
            <w:proofErr w:type="gramEnd"/>
            <w:r w:rsidRPr="004A099B">
              <w:rPr>
                <w:sz w:val="18"/>
                <w:szCs w:val="18"/>
              </w:rPr>
              <w:t xml:space="preserve"> for TDD)</w:t>
            </w:r>
            <w:r w:rsidRPr="004A099B">
              <w:rPr>
                <w:sz w:val="18"/>
                <w:szCs w:val="18"/>
              </w:rPr>
              <w:br/>
              <w:t>(MHz)</w:t>
            </w:r>
          </w:p>
        </w:tc>
        <w:tc>
          <w:tcPr>
            <w:tcW w:w="1036" w:type="dxa"/>
            <w:vMerge w:val="restart"/>
            <w:vAlign w:val="center"/>
          </w:tcPr>
          <w:p w14:paraId="76676517" w14:textId="77777777" w:rsidR="00EC59AD" w:rsidRPr="004A099B" w:rsidRDefault="00EC59AD" w:rsidP="00F37272">
            <w:pPr>
              <w:pStyle w:val="Tablehead"/>
              <w:rPr>
                <w:sz w:val="18"/>
                <w:szCs w:val="18"/>
              </w:rPr>
            </w:pPr>
            <w:r w:rsidRPr="004A099B">
              <w:rPr>
                <w:sz w:val="18"/>
                <w:szCs w:val="18"/>
              </w:rPr>
              <w:t>Relevant</w:t>
            </w:r>
            <w:r w:rsidRPr="004A099B">
              <w:rPr>
                <w:sz w:val="18"/>
                <w:szCs w:val="18"/>
              </w:rPr>
              <w:br/>
              <w:t>Notes</w:t>
            </w:r>
          </w:p>
        </w:tc>
      </w:tr>
      <w:tr w:rsidR="00EC59AD" w:rsidRPr="004A099B" w14:paraId="11AE2C30" w14:textId="77777777" w:rsidTr="00F37272">
        <w:trPr>
          <w:jc w:val="center"/>
        </w:trPr>
        <w:tc>
          <w:tcPr>
            <w:tcW w:w="2045" w:type="dxa"/>
            <w:vMerge/>
            <w:vAlign w:val="center"/>
          </w:tcPr>
          <w:p w14:paraId="08037F7E" w14:textId="77777777" w:rsidR="00EC59AD" w:rsidRPr="004A099B" w:rsidRDefault="00EC59AD" w:rsidP="00F37272">
            <w:pPr>
              <w:pStyle w:val="Tablehead"/>
              <w:rPr>
                <w:sz w:val="18"/>
                <w:szCs w:val="18"/>
              </w:rPr>
            </w:pPr>
          </w:p>
        </w:tc>
        <w:tc>
          <w:tcPr>
            <w:tcW w:w="1558" w:type="dxa"/>
            <w:vAlign w:val="center"/>
          </w:tcPr>
          <w:p w14:paraId="093ECA89" w14:textId="77777777" w:rsidR="00EC59AD" w:rsidRPr="004A099B" w:rsidRDefault="00EC59AD" w:rsidP="00F37272">
            <w:pPr>
              <w:pStyle w:val="Tablehead"/>
              <w:rPr>
                <w:sz w:val="18"/>
                <w:szCs w:val="18"/>
              </w:rPr>
            </w:pPr>
            <w:r w:rsidRPr="004A099B">
              <w:rPr>
                <w:sz w:val="18"/>
                <w:szCs w:val="18"/>
              </w:rPr>
              <w:t>Mobile station transmitter</w:t>
            </w:r>
            <w:r w:rsidRPr="004A099B">
              <w:rPr>
                <w:sz w:val="18"/>
                <w:szCs w:val="18"/>
              </w:rPr>
              <w:br/>
              <w:t>(MHz)</w:t>
            </w:r>
          </w:p>
        </w:tc>
        <w:tc>
          <w:tcPr>
            <w:tcW w:w="1175" w:type="dxa"/>
            <w:vAlign w:val="center"/>
          </w:tcPr>
          <w:p w14:paraId="48ECA15E" w14:textId="77777777" w:rsidR="00EC59AD" w:rsidRPr="004A099B" w:rsidRDefault="00EC59AD" w:rsidP="00F37272">
            <w:pPr>
              <w:pStyle w:val="Tablehead"/>
              <w:rPr>
                <w:sz w:val="18"/>
                <w:szCs w:val="18"/>
              </w:rPr>
            </w:pPr>
            <w:r w:rsidRPr="004A099B">
              <w:rPr>
                <w:sz w:val="18"/>
                <w:szCs w:val="18"/>
              </w:rPr>
              <w:t>Centre gap</w:t>
            </w:r>
            <w:r w:rsidRPr="004A099B">
              <w:rPr>
                <w:sz w:val="18"/>
                <w:szCs w:val="18"/>
              </w:rPr>
              <w:br/>
              <w:t>(MHz)</w:t>
            </w:r>
          </w:p>
        </w:tc>
        <w:tc>
          <w:tcPr>
            <w:tcW w:w="1353" w:type="dxa"/>
            <w:vAlign w:val="center"/>
          </w:tcPr>
          <w:p w14:paraId="38F76472" w14:textId="77777777" w:rsidR="00EC59AD" w:rsidRPr="004A099B" w:rsidRDefault="00EC59AD" w:rsidP="00F37272">
            <w:pPr>
              <w:pStyle w:val="Tablehead"/>
              <w:rPr>
                <w:sz w:val="18"/>
                <w:szCs w:val="18"/>
              </w:rPr>
            </w:pPr>
            <w:r w:rsidRPr="004A099B">
              <w:rPr>
                <w:sz w:val="18"/>
                <w:szCs w:val="18"/>
              </w:rPr>
              <w:t>Base station transmitter</w:t>
            </w:r>
            <w:r w:rsidRPr="004A099B">
              <w:rPr>
                <w:sz w:val="18"/>
                <w:szCs w:val="18"/>
              </w:rPr>
              <w:br/>
              <w:t>(MHz)</w:t>
            </w:r>
          </w:p>
        </w:tc>
        <w:tc>
          <w:tcPr>
            <w:tcW w:w="1183" w:type="dxa"/>
            <w:vAlign w:val="center"/>
          </w:tcPr>
          <w:p w14:paraId="05D54654" w14:textId="77777777" w:rsidR="00EC59AD" w:rsidRPr="004A099B" w:rsidRDefault="00EC59AD" w:rsidP="00F37272">
            <w:pPr>
              <w:pStyle w:val="Tablehead"/>
              <w:rPr>
                <w:sz w:val="18"/>
                <w:szCs w:val="18"/>
              </w:rPr>
            </w:pPr>
            <w:r w:rsidRPr="004A099B">
              <w:rPr>
                <w:sz w:val="18"/>
                <w:szCs w:val="18"/>
              </w:rPr>
              <w:t>Duplex separation</w:t>
            </w:r>
            <w:r w:rsidRPr="004A099B">
              <w:rPr>
                <w:sz w:val="18"/>
                <w:szCs w:val="18"/>
              </w:rPr>
              <w:br/>
              <w:t>(MHz)</w:t>
            </w:r>
          </w:p>
        </w:tc>
        <w:tc>
          <w:tcPr>
            <w:tcW w:w="1289" w:type="dxa"/>
            <w:vMerge/>
            <w:vAlign w:val="center"/>
          </w:tcPr>
          <w:p w14:paraId="61F7C0FB" w14:textId="77777777" w:rsidR="00EC59AD" w:rsidRPr="004A099B" w:rsidRDefault="00EC59AD" w:rsidP="00F37272">
            <w:pPr>
              <w:pStyle w:val="Tablehead"/>
              <w:rPr>
                <w:sz w:val="18"/>
                <w:szCs w:val="18"/>
              </w:rPr>
            </w:pPr>
          </w:p>
        </w:tc>
        <w:tc>
          <w:tcPr>
            <w:tcW w:w="1036" w:type="dxa"/>
            <w:vMerge/>
          </w:tcPr>
          <w:p w14:paraId="78B34D6C" w14:textId="77777777" w:rsidR="00EC59AD" w:rsidRPr="004A099B" w:rsidRDefault="00EC59AD" w:rsidP="00F37272">
            <w:pPr>
              <w:pStyle w:val="Tablehead"/>
              <w:rPr>
                <w:sz w:val="18"/>
                <w:szCs w:val="18"/>
              </w:rPr>
            </w:pPr>
          </w:p>
        </w:tc>
      </w:tr>
      <w:tr w:rsidR="00EC59AD" w:rsidRPr="004A099B" w14:paraId="2AD541C1" w14:textId="77777777" w:rsidTr="00F37272">
        <w:trPr>
          <w:jc w:val="center"/>
        </w:trPr>
        <w:tc>
          <w:tcPr>
            <w:tcW w:w="2045" w:type="dxa"/>
            <w:vAlign w:val="center"/>
          </w:tcPr>
          <w:p w14:paraId="61E1DBF7" w14:textId="77777777" w:rsidR="00EC59AD" w:rsidRPr="004A099B" w:rsidRDefault="00EC59AD" w:rsidP="00F37272">
            <w:pPr>
              <w:pStyle w:val="Tabletext"/>
              <w:jc w:val="center"/>
              <w:rPr>
                <w:sz w:val="18"/>
                <w:szCs w:val="18"/>
              </w:rPr>
            </w:pPr>
            <w:r w:rsidRPr="004A099B">
              <w:rPr>
                <w:sz w:val="18"/>
                <w:szCs w:val="18"/>
              </w:rPr>
              <w:t>B1</w:t>
            </w:r>
          </w:p>
        </w:tc>
        <w:tc>
          <w:tcPr>
            <w:tcW w:w="1558" w:type="dxa"/>
            <w:vAlign w:val="center"/>
          </w:tcPr>
          <w:p w14:paraId="30C08B37" w14:textId="77777777" w:rsidR="00EC59AD" w:rsidRPr="004A099B" w:rsidRDefault="00EC59AD" w:rsidP="00F37272">
            <w:pPr>
              <w:pStyle w:val="Tabletext"/>
              <w:jc w:val="center"/>
              <w:rPr>
                <w:sz w:val="18"/>
                <w:szCs w:val="18"/>
              </w:rPr>
            </w:pPr>
            <w:r w:rsidRPr="004A099B">
              <w:rPr>
                <w:sz w:val="18"/>
                <w:szCs w:val="18"/>
              </w:rPr>
              <w:t>1 920-1 980</w:t>
            </w:r>
          </w:p>
        </w:tc>
        <w:tc>
          <w:tcPr>
            <w:tcW w:w="1175" w:type="dxa"/>
            <w:vAlign w:val="center"/>
          </w:tcPr>
          <w:p w14:paraId="65A999D1" w14:textId="77777777" w:rsidR="00EC59AD" w:rsidRPr="004A099B" w:rsidRDefault="00EC59AD" w:rsidP="00F37272">
            <w:pPr>
              <w:pStyle w:val="Tabletext"/>
              <w:jc w:val="center"/>
              <w:rPr>
                <w:sz w:val="18"/>
                <w:szCs w:val="18"/>
              </w:rPr>
            </w:pPr>
            <w:r w:rsidRPr="004A099B">
              <w:rPr>
                <w:sz w:val="18"/>
                <w:szCs w:val="18"/>
              </w:rPr>
              <w:t>130</w:t>
            </w:r>
          </w:p>
        </w:tc>
        <w:tc>
          <w:tcPr>
            <w:tcW w:w="1353" w:type="dxa"/>
            <w:vAlign w:val="center"/>
          </w:tcPr>
          <w:p w14:paraId="367EC2CA" w14:textId="77777777" w:rsidR="00EC59AD" w:rsidRPr="004A099B" w:rsidRDefault="00EC59AD" w:rsidP="00F37272">
            <w:pPr>
              <w:pStyle w:val="Tabletext"/>
              <w:jc w:val="center"/>
              <w:rPr>
                <w:sz w:val="18"/>
                <w:szCs w:val="18"/>
              </w:rPr>
            </w:pPr>
            <w:r w:rsidRPr="004A099B">
              <w:rPr>
                <w:sz w:val="18"/>
                <w:szCs w:val="18"/>
              </w:rPr>
              <w:t>2 110-2 170</w:t>
            </w:r>
          </w:p>
        </w:tc>
        <w:tc>
          <w:tcPr>
            <w:tcW w:w="1183" w:type="dxa"/>
            <w:vAlign w:val="center"/>
          </w:tcPr>
          <w:p w14:paraId="38038D62" w14:textId="77777777" w:rsidR="00EC59AD" w:rsidRPr="004A099B" w:rsidRDefault="00EC59AD" w:rsidP="00F37272">
            <w:pPr>
              <w:pStyle w:val="Tabletext"/>
              <w:jc w:val="center"/>
              <w:rPr>
                <w:sz w:val="18"/>
                <w:szCs w:val="18"/>
              </w:rPr>
            </w:pPr>
            <w:r w:rsidRPr="004A099B">
              <w:rPr>
                <w:sz w:val="18"/>
                <w:szCs w:val="18"/>
              </w:rPr>
              <w:t>190</w:t>
            </w:r>
          </w:p>
        </w:tc>
        <w:tc>
          <w:tcPr>
            <w:tcW w:w="1289" w:type="dxa"/>
            <w:vAlign w:val="center"/>
          </w:tcPr>
          <w:p w14:paraId="7B53C5CF" w14:textId="77777777" w:rsidR="00EC59AD" w:rsidRPr="004A099B" w:rsidRDefault="00EC59AD" w:rsidP="00F37272">
            <w:pPr>
              <w:pStyle w:val="Tabletext"/>
              <w:jc w:val="center"/>
              <w:rPr>
                <w:sz w:val="18"/>
                <w:szCs w:val="18"/>
              </w:rPr>
            </w:pPr>
            <w:r w:rsidRPr="004A099B">
              <w:rPr>
                <w:sz w:val="18"/>
                <w:szCs w:val="18"/>
              </w:rPr>
              <w:t>1 880-1 920;</w:t>
            </w:r>
            <w:r w:rsidRPr="004A099B">
              <w:rPr>
                <w:sz w:val="18"/>
                <w:szCs w:val="18"/>
              </w:rPr>
              <w:br/>
              <w:t>2 010-2 025</w:t>
            </w:r>
          </w:p>
        </w:tc>
        <w:tc>
          <w:tcPr>
            <w:tcW w:w="1036" w:type="dxa"/>
            <w:vAlign w:val="center"/>
          </w:tcPr>
          <w:p w14:paraId="57D894E7" w14:textId="77777777" w:rsidR="00EC59AD" w:rsidRPr="004A099B" w:rsidRDefault="00EC59AD" w:rsidP="00F37272">
            <w:pPr>
              <w:pStyle w:val="Tabletext"/>
              <w:jc w:val="center"/>
              <w:rPr>
                <w:sz w:val="18"/>
                <w:szCs w:val="18"/>
              </w:rPr>
            </w:pPr>
            <w:r w:rsidRPr="004A099B">
              <w:rPr>
                <w:sz w:val="18"/>
                <w:szCs w:val="18"/>
              </w:rPr>
              <w:t>1, 2, 4</w:t>
            </w:r>
          </w:p>
        </w:tc>
      </w:tr>
      <w:tr w:rsidR="00EC59AD" w:rsidRPr="004A099B" w14:paraId="0697AD0B" w14:textId="77777777" w:rsidTr="00F37272">
        <w:trPr>
          <w:jc w:val="center"/>
        </w:trPr>
        <w:tc>
          <w:tcPr>
            <w:tcW w:w="2045" w:type="dxa"/>
            <w:vAlign w:val="center"/>
          </w:tcPr>
          <w:p w14:paraId="524848CD" w14:textId="77777777" w:rsidR="00EC59AD" w:rsidRPr="004A099B" w:rsidRDefault="00EC59AD" w:rsidP="00F37272">
            <w:pPr>
              <w:pStyle w:val="Tabletext"/>
              <w:jc w:val="center"/>
              <w:rPr>
                <w:sz w:val="18"/>
                <w:szCs w:val="18"/>
              </w:rPr>
            </w:pPr>
            <w:r w:rsidRPr="004A099B">
              <w:rPr>
                <w:sz w:val="18"/>
                <w:szCs w:val="18"/>
              </w:rPr>
              <w:t>B2</w:t>
            </w:r>
          </w:p>
        </w:tc>
        <w:tc>
          <w:tcPr>
            <w:tcW w:w="1558" w:type="dxa"/>
            <w:vAlign w:val="center"/>
          </w:tcPr>
          <w:p w14:paraId="3A1DC973" w14:textId="77777777" w:rsidR="00EC59AD" w:rsidRPr="004A099B" w:rsidRDefault="00EC59AD" w:rsidP="00F37272">
            <w:pPr>
              <w:pStyle w:val="Tabletext"/>
              <w:jc w:val="center"/>
              <w:rPr>
                <w:sz w:val="18"/>
                <w:szCs w:val="18"/>
              </w:rPr>
            </w:pPr>
            <w:r w:rsidRPr="004A099B">
              <w:rPr>
                <w:sz w:val="18"/>
                <w:szCs w:val="18"/>
              </w:rPr>
              <w:t>1 710-1 785</w:t>
            </w:r>
          </w:p>
        </w:tc>
        <w:tc>
          <w:tcPr>
            <w:tcW w:w="1175" w:type="dxa"/>
            <w:vAlign w:val="center"/>
          </w:tcPr>
          <w:p w14:paraId="23C6069D" w14:textId="77777777" w:rsidR="00EC59AD" w:rsidRPr="004A099B" w:rsidRDefault="00EC59AD" w:rsidP="00F37272">
            <w:pPr>
              <w:pStyle w:val="Tabletext"/>
              <w:jc w:val="center"/>
              <w:rPr>
                <w:sz w:val="18"/>
                <w:szCs w:val="18"/>
              </w:rPr>
            </w:pPr>
            <w:r w:rsidRPr="004A099B">
              <w:rPr>
                <w:sz w:val="18"/>
                <w:szCs w:val="18"/>
              </w:rPr>
              <w:t>20</w:t>
            </w:r>
          </w:p>
        </w:tc>
        <w:tc>
          <w:tcPr>
            <w:tcW w:w="1353" w:type="dxa"/>
            <w:vAlign w:val="center"/>
          </w:tcPr>
          <w:p w14:paraId="7EF87399" w14:textId="77777777" w:rsidR="00EC59AD" w:rsidRPr="004A099B" w:rsidRDefault="00EC59AD" w:rsidP="00F37272">
            <w:pPr>
              <w:pStyle w:val="Tabletext"/>
              <w:jc w:val="center"/>
              <w:rPr>
                <w:sz w:val="18"/>
                <w:szCs w:val="18"/>
              </w:rPr>
            </w:pPr>
            <w:r w:rsidRPr="004A099B">
              <w:rPr>
                <w:sz w:val="18"/>
                <w:szCs w:val="18"/>
              </w:rPr>
              <w:t>1 805-1 880</w:t>
            </w:r>
          </w:p>
        </w:tc>
        <w:tc>
          <w:tcPr>
            <w:tcW w:w="1183" w:type="dxa"/>
            <w:vAlign w:val="center"/>
          </w:tcPr>
          <w:p w14:paraId="1C77A820" w14:textId="77777777" w:rsidR="00EC59AD" w:rsidRPr="004A099B" w:rsidRDefault="00EC59AD" w:rsidP="00F37272">
            <w:pPr>
              <w:pStyle w:val="Tabletext"/>
              <w:jc w:val="center"/>
              <w:rPr>
                <w:sz w:val="18"/>
                <w:szCs w:val="18"/>
              </w:rPr>
            </w:pPr>
            <w:r w:rsidRPr="004A099B">
              <w:rPr>
                <w:sz w:val="18"/>
                <w:szCs w:val="18"/>
              </w:rPr>
              <w:t>95</w:t>
            </w:r>
          </w:p>
        </w:tc>
        <w:tc>
          <w:tcPr>
            <w:tcW w:w="1289" w:type="dxa"/>
            <w:vAlign w:val="center"/>
          </w:tcPr>
          <w:p w14:paraId="35798AB3" w14:textId="77777777" w:rsidR="00EC59AD" w:rsidRPr="004A099B" w:rsidRDefault="00EC59AD" w:rsidP="00F37272">
            <w:pPr>
              <w:pStyle w:val="Tabletext"/>
              <w:jc w:val="center"/>
              <w:rPr>
                <w:sz w:val="18"/>
                <w:szCs w:val="18"/>
              </w:rPr>
            </w:pPr>
            <w:r w:rsidRPr="004A099B">
              <w:rPr>
                <w:sz w:val="18"/>
                <w:szCs w:val="18"/>
              </w:rPr>
              <w:t>None</w:t>
            </w:r>
          </w:p>
        </w:tc>
        <w:tc>
          <w:tcPr>
            <w:tcW w:w="1036" w:type="dxa"/>
            <w:vAlign w:val="center"/>
          </w:tcPr>
          <w:p w14:paraId="12CABBEA" w14:textId="77777777" w:rsidR="00EC59AD" w:rsidRPr="004A099B" w:rsidRDefault="00EC59AD" w:rsidP="00F37272">
            <w:pPr>
              <w:pStyle w:val="Tabletext"/>
              <w:jc w:val="center"/>
              <w:rPr>
                <w:sz w:val="18"/>
                <w:szCs w:val="18"/>
              </w:rPr>
            </w:pPr>
            <w:r w:rsidRPr="004A099B">
              <w:rPr>
                <w:sz w:val="18"/>
                <w:szCs w:val="18"/>
              </w:rPr>
              <w:t>1</w:t>
            </w:r>
          </w:p>
        </w:tc>
      </w:tr>
      <w:tr w:rsidR="00EC59AD" w:rsidRPr="004A099B" w14:paraId="4DCA12CB" w14:textId="77777777" w:rsidTr="00F37272">
        <w:trPr>
          <w:jc w:val="center"/>
        </w:trPr>
        <w:tc>
          <w:tcPr>
            <w:tcW w:w="2045" w:type="dxa"/>
            <w:vAlign w:val="center"/>
          </w:tcPr>
          <w:p w14:paraId="03D638D8" w14:textId="77777777" w:rsidR="00EC59AD" w:rsidRPr="004A099B" w:rsidRDefault="00EC59AD" w:rsidP="00F37272">
            <w:pPr>
              <w:pStyle w:val="Tabletext"/>
              <w:jc w:val="center"/>
              <w:rPr>
                <w:sz w:val="18"/>
                <w:szCs w:val="18"/>
              </w:rPr>
            </w:pPr>
            <w:r w:rsidRPr="004A099B">
              <w:rPr>
                <w:sz w:val="18"/>
                <w:szCs w:val="18"/>
              </w:rPr>
              <w:t>B3</w:t>
            </w:r>
          </w:p>
        </w:tc>
        <w:tc>
          <w:tcPr>
            <w:tcW w:w="1558" w:type="dxa"/>
            <w:vAlign w:val="center"/>
          </w:tcPr>
          <w:p w14:paraId="4C4F72A3" w14:textId="77777777" w:rsidR="00EC59AD" w:rsidRPr="004A099B" w:rsidRDefault="00EC59AD" w:rsidP="00F37272">
            <w:pPr>
              <w:pStyle w:val="Tabletext"/>
              <w:jc w:val="center"/>
              <w:rPr>
                <w:sz w:val="18"/>
                <w:szCs w:val="18"/>
              </w:rPr>
            </w:pPr>
            <w:r w:rsidRPr="004A099B">
              <w:rPr>
                <w:sz w:val="18"/>
                <w:szCs w:val="18"/>
              </w:rPr>
              <w:t>1 850-1 920</w:t>
            </w:r>
          </w:p>
        </w:tc>
        <w:tc>
          <w:tcPr>
            <w:tcW w:w="1175" w:type="dxa"/>
            <w:vAlign w:val="center"/>
          </w:tcPr>
          <w:p w14:paraId="1EEDAB96" w14:textId="77777777" w:rsidR="00EC59AD" w:rsidRPr="004A099B" w:rsidRDefault="00EC59AD" w:rsidP="00F37272">
            <w:pPr>
              <w:pStyle w:val="Tabletext"/>
              <w:jc w:val="center"/>
              <w:rPr>
                <w:sz w:val="18"/>
                <w:szCs w:val="18"/>
              </w:rPr>
            </w:pPr>
            <w:r w:rsidRPr="004A099B">
              <w:rPr>
                <w:sz w:val="18"/>
                <w:szCs w:val="18"/>
              </w:rPr>
              <w:t>10</w:t>
            </w:r>
          </w:p>
        </w:tc>
        <w:tc>
          <w:tcPr>
            <w:tcW w:w="1353" w:type="dxa"/>
            <w:vAlign w:val="center"/>
          </w:tcPr>
          <w:p w14:paraId="1EDC6133" w14:textId="77777777" w:rsidR="00EC59AD" w:rsidRPr="004A099B" w:rsidRDefault="00EC59AD" w:rsidP="00F37272">
            <w:pPr>
              <w:pStyle w:val="Tabletext"/>
              <w:jc w:val="center"/>
              <w:rPr>
                <w:sz w:val="18"/>
                <w:szCs w:val="18"/>
              </w:rPr>
            </w:pPr>
            <w:r w:rsidRPr="004A099B">
              <w:rPr>
                <w:sz w:val="18"/>
                <w:szCs w:val="18"/>
              </w:rPr>
              <w:t xml:space="preserve">1 930-2 000 </w:t>
            </w:r>
          </w:p>
        </w:tc>
        <w:tc>
          <w:tcPr>
            <w:tcW w:w="1183" w:type="dxa"/>
            <w:vAlign w:val="center"/>
          </w:tcPr>
          <w:p w14:paraId="0789B4DA" w14:textId="77777777" w:rsidR="00EC59AD" w:rsidRPr="004A099B" w:rsidRDefault="00EC59AD" w:rsidP="00F37272">
            <w:pPr>
              <w:pStyle w:val="Tabletext"/>
              <w:jc w:val="center"/>
              <w:rPr>
                <w:sz w:val="18"/>
                <w:szCs w:val="18"/>
              </w:rPr>
            </w:pPr>
            <w:r w:rsidRPr="004A099B">
              <w:rPr>
                <w:sz w:val="18"/>
                <w:szCs w:val="18"/>
              </w:rPr>
              <w:t>80</w:t>
            </w:r>
          </w:p>
        </w:tc>
        <w:tc>
          <w:tcPr>
            <w:tcW w:w="1289" w:type="dxa"/>
            <w:vAlign w:val="center"/>
          </w:tcPr>
          <w:p w14:paraId="48EBC212" w14:textId="77777777" w:rsidR="00EC59AD" w:rsidRPr="004A099B" w:rsidRDefault="00EC59AD" w:rsidP="00F37272">
            <w:pPr>
              <w:pStyle w:val="Tabletext"/>
              <w:jc w:val="center"/>
              <w:rPr>
                <w:sz w:val="18"/>
                <w:szCs w:val="18"/>
              </w:rPr>
            </w:pPr>
            <w:r w:rsidRPr="004A099B">
              <w:rPr>
                <w:sz w:val="18"/>
                <w:szCs w:val="18"/>
              </w:rPr>
              <w:t>1 920-1 930</w:t>
            </w:r>
          </w:p>
        </w:tc>
        <w:tc>
          <w:tcPr>
            <w:tcW w:w="1036" w:type="dxa"/>
            <w:vAlign w:val="center"/>
          </w:tcPr>
          <w:p w14:paraId="17811332" w14:textId="77777777" w:rsidR="00EC59AD" w:rsidRPr="004A099B" w:rsidRDefault="00EC59AD" w:rsidP="00F37272">
            <w:pPr>
              <w:pStyle w:val="Tabletext"/>
              <w:jc w:val="center"/>
              <w:rPr>
                <w:sz w:val="18"/>
                <w:szCs w:val="18"/>
              </w:rPr>
            </w:pPr>
            <w:r w:rsidRPr="004A099B">
              <w:rPr>
                <w:sz w:val="18"/>
                <w:szCs w:val="18"/>
              </w:rPr>
              <w:t>1, 2, 5</w:t>
            </w:r>
          </w:p>
        </w:tc>
      </w:tr>
      <w:tr w:rsidR="00EC59AD" w:rsidRPr="004A099B" w14:paraId="5FA49F7C" w14:textId="77777777" w:rsidTr="00F37272">
        <w:trPr>
          <w:jc w:val="center"/>
        </w:trPr>
        <w:tc>
          <w:tcPr>
            <w:tcW w:w="2045" w:type="dxa"/>
            <w:vAlign w:val="center"/>
          </w:tcPr>
          <w:p w14:paraId="5C3FE756" w14:textId="77777777" w:rsidR="00EC59AD" w:rsidRPr="004A099B" w:rsidRDefault="00EC59AD" w:rsidP="00F37272">
            <w:pPr>
              <w:pStyle w:val="Tabletext"/>
              <w:jc w:val="center"/>
              <w:rPr>
                <w:sz w:val="18"/>
                <w:szCs w:val="18"/>
              </w:rPr>
            </w:pPr>
            <w:r w:rsidRPr="004A099B">
              <w:rPr>
                <w:sz w:val="18"/>
                <w:szCs w:val="18"/>
              </w:rPr>
              <w:t xml:space="preserve">B4 (harmonized with </w:t>
            </w:r>
            <w:r w:rsidRPr="004A099B">
              <w:rPr>
                <w:sz w:val="18"/>
                <w:szCs w:val="18"/>
              </w:rPr>
              <w:br/>
              <w:t>B1 and B2)</w:t>
            </w:r>
          </w:p>
        </w:tc>
        <w:tc>
          <w:tcPr>
            <w:tcW w:w="1558" w:type="dxa"/>
            <w:vAlign w:val="center"/>
          </w:tcPr>
          <w:p w14:paraId="1A9AB62C" w14:textId="77777777" w:rsidR="00EC59AD" w:rsidRPr="004A099B" w:rsidRDefault="00EC59AD" w:rsidP="00F37272">
            <w:pPr>
              <w:pStyle w:val="Tabletext"/>
              <w:jc w:val="center"/>
              <w:rPr>
                <w:sz w:val="18"/>
                <w:szCs w:val="18"/>
              </w:rPr>
            </w:pPr>
            <w:r w:rsidRPr="004A099B">
              <w:rPr>
                <w:sz w:val="18"/>
                <w:szCs w:val="18"/>
              </w:rPr>
              <w:t>1 710-1 785</w:t>
            </w:r>
            <w:r w:rsidRPr="004A099B">
              <w:rPr>
                <w:sz w:val="18"/>
                <w:szCs w:val="18"/>
              </w:rPr>
              <w:br/>
              <w:t>1 920-1 980</w:t>
            </w:r>
          </w:p>
        </w:tc>
        <w:tc>
          <w:tcPr>
            <w:tcW w:w="1175" w:type="dxa"/>
            <w:vAlign w:val="center"/>
          </w:tcPr>
          <w:p w14:paraId="3C4B66FD" w14:textId="77777777" w:rsidR="00EC59AD" w:rsidRPr="004A099B" w:rsidRDefault="00EC59AD" w:rsidP="00F37272">
            <w:pPr>
              <w:pStyle w:val="Tabletext"/>
              <w:jc w:val="center"/>
              <w:rPr>
                <w:sz w:val="18"/>
                <w:szCs w:val="18"/>
              </w:rPr>
            </w:pPr>
            <w:r w:rsidRPr="004A099B">
              <w:rPr>
                <w:sz w:val="18"/>
                <w:szCs w:val="18"/>
              </w:rPr>
              <w:t>20</w:t>
            </w:r>
            <w:r w:rsidRPr="004A099B">
              <w:rPr>
                <w:sz w:val="18"/>
                <w:szCs w:val="18"/>
              </w:rPr>
              <w:br/>
              <w:t>130</w:t>
            </w:r>
          </w:p>
        </w:tc>
        <w:tc>
          <w:tcPr>
            <w:tcW w:w="1353" w:type="dxa"/>
            <w:vAlign w:val="center"/>
          </w:tcPr>
          <w:p w14:paraId="33BAC9CF" w14:textId="77777777" w:rsidR="00EC59AD" w:rsidRPr="004A099B" w:rsidRDefault="00EC59AD" w:rsidP="00F37272">
            <w:pPr>
              <w:pStyle w:val="Tabletext"/>
              <w:jc w:val="center"/>
              <w:rPr>
                <w:sz w:val="18"/>
                <w:szCs w:val="18"/>
              </w:rPr>
            </w:pPr>
            <w:r w:rsidRPr="004A099B">
              <w:rPr>
                <w:sz w:val="18"/>
                <w:szCs w:val="18"/>
              </w:rPr>
              <w:t>1 805-1 880</w:t>
            </w:r>
            <w:r w:rsidRPr="004A099B">
              <w:rPr>
                <w:sz w:val="18"/>
                <w:szCs w:val="18"/>
              </w:rPr>
              <w:br/>
              <w:t>2 110-2 170</w:t>
            </w:r>
          </w:p>
        </w:tc>
        <w:tc>
          <w:tcPr>
            <w:tcW w:w="1183" w:type="dxa"/>
            <w:vAlign w:val="center"/>
          </w:tcPr>
          <w:p w14:paraId="1FDCD222" w14:textId="77777777" w:rsidR="00EC59AD" w:rsidRPr="004A099B" w:rsidRDefault="00EC59AD" w:rsidP="00F37272">
            <w:pPr>
              <w:pStyle w:val="Tabletext"/>
              <w:jc w:val="center"/>
              <w:rPr>
                <w:sz w:val="18"/>
                <w:szCs w:val="18"/>
              </w:rPr>
            </w:pPr>
            <w:r w:rsidRPr="004A099B">
              <w:rPr>
                <w:sz w:val="18"/>
                <w:szCs w:val="18"/>
              </w:rPr>
              <w:t>95</w:t>
            </w:r>
            <w:r w:rsidRPr="004A099B">
              <w:rPr>
                <w:sz w:val="18"/>
                <w:szCs w:val="18"/>
              </w:rPr>
              <w:br/>
              <w:t>190</w:t>
            </w:r>
          </w:p>
        </w:tc>
        <w:tc>
          <w:tcPr>
            <w:tcW w:w="1289" w:type="dxa"/>
            <w:vAlign w:val="center"/>
          </w:tcPr>
          <w:p w14:paraId="75762436" w14:textId="77777777" w:rsidR="00EC59AD" w:rsidRPr="004A099B" w:rsidRDefault="00EC59AD" w:rsidP="00F37272">
            <w:pPr>
              <w:pStyle w:val="Tabletext"/>
              <w:jc w:val="center"/>
              <w:rPr>
                <w:sz w:val="18"/>
                <w:szCs w:val="18"/>
              </w:rPr>
            </w:pPr>
            <w:r w:rsidRPr="004A099B">
              <w:rPr>
                <w:sz w:val="18"/>
                <w:szCs w:val="18"/>
              </w:rPr>
              <w:t>1 880-1 920;</w:t>
            </w:r>
            <w:r w:rsidRPr="004A099B">
              <w:rPr>
                <w:sz w:val="18"/>
                <w:szCs w:val="18"/>
              </w:rPr>
              <w:br/>
              <w:t>2 010-2 025</w:t>
            </w:r>
          </w:p>
        </w:tc>
        <w:tc>
          <w:tcPr>
            <w:tcW w:w="1036" w:type="dxa"/>
            <w:vAlign w:val="center"/>
          </w:tcPr>
          <w:p w14:paraId="50581EDB" w14:textId="77777777" w:rsidR="00EC59AD" w:rsidRPr="004A099B" w:rsidRDefault="00EC59AD" w:rsidP="00F37272">
            <w:pPr>
              <w:pStyle w:val="Tabletext"/>
              <w:jc w:val="center"/>
              <w:rPr>
                <w:sz w:val="18"/>
                <w:szCs w:val="18"/>
              </w:rPr>
            </w:pPr>
            <w:r w:rsidRPr="004A099B">
              <w:rPr>
                <w:sz w:val="18"/>
                <w:szCs w:val="18"/>
              </w:rPr>
              <w:t>1, 2, 4</w:t>
            </w:r>
          </w:p>
        </w:tc>
      </w:tr>
      <w:tr w:rsidR="00EC59AD" w:rsidRPr="004A099B" w14:paraId="39E70791" w14:textId="77777777" w:rsidTr="00F37272">
        <w:trPr>
          <w:jc w:val="center"/>
        </w:trPr>
        <w:tc>
          <w:tcPr>
            <w:tcW w:w="2045" w:type="dxa"/>
            <w:vAlign w:val="center"/>
          </w:tcPr>
          <w:p w14:paraId="49872F6A" w14:textId="77777777" w:rsidR="00EC59AD" w:rsidRPr="004A099B" w:rsidRDefault="00EC59AD" w:rsidP="00F37272">
            <w:pPr>
              <w:pStyle w:val="Tabletext"/>
              <w:jc w:val="center"/>
              <w:rPr>
                <w:sz w:val="18"/>
                <w:szCs w:val="18"/>
              </w:rPr>
            </w:pPr>
            <w:r w:rsidRPr="004A099B">
              <w:rPr>
                <w:sz w:val="18"/>
                <w:szCs w:val="18"/>
              </w:rPr>
              <w:t>B5 (harmonized with B3 and</w:t>
            </w:r>
            <w:r w:rsidRPr="004A099B">
              <w:rPr>
                <w:sz w:val="18"/>
                <w:szCs w:val="18"/>
                <w:lang w:eastAsia="zh-CN"/>
              </w:rPr>
              <w:t xml:space="preserve"> </w:t>
            </w:r>
            <w:r w:rsidRPr="004A099B">
              <w:rPr>
                <w:sz w:val="18"/>
                <w:szCs w:val="18"/>
              </w:rPr>
              <w:t>partially harmonized with the downlink of B1 and the uplink of B2)</w:t>
            </w:r>
          </w:p>
        </w:tc>
        <w:tc>
          <w:tcPr>
            <w:tcW w:w="1558" w:type="dxa"/>
            <w:vAlign w:val="center"/>
          </w:tcPr>
          <w:p w14:paraId="6232C767" w14:textId="77777777" w:rsidR="00EC59AD" w:rsidRPr="004A099B" w:rsidRDefault="00EC59AD" w:rsidP="00F37272">
            <w:pPr>
              <w:pStyle w:val="Tabletext"/>
              <w:jc w:val="center"/>
              <w:rPr>
                <w:sz w:val="18"/>
                <w:szCs w:val="18"/>
              </w:rPr>
            </w:pPr>
            <w:r w:rsidRPr="004A099B">
              <w:rPr>
                <w:sz w:val="18"/>
                <w:szCs w:val="18"/>
              </w:rPr>
              <w:t>1 850-1 920</w:t>
            </w:r>
            <w:r w:rsidRPr="004A099B">
              <w:rPr>
                <w:sz w:val="18"/>
                <w:szCs w:val="18"/>
              </w:rPr>
              <w:br/>
              <w:t>1 710-1 780</w:t>
            </w:r>
          </w:p>
        </w:tc>
        <w:tc>
          <w:tcPr>
            <w:tcW w:w="1175" w:type="dxa"/>
            <w:vAlign w:val="center"/>
          </w:tcPr>
          <w:p w14:paraId="5118A8B6" w14:textId="77777777" w:rsidR="00EC59AD" w:rsidRPr="004A099B" w:rsidRDefault="00EC59AD" w:rsidP="00F37272">
            <w:pPr>
              <w:pStyle w:val="Tabletext"/>
              <w:jc w:val="center"/>
              <w:rPr>
                <w:sz w:val="18"/>
                <w:szCs w:val="18"/>
              </w:rPr>
            </w:pPr>
            <w:r w:rsidRPr="004A099B">
              <w:rPr>
                <w:sz w:val="18"/>
                <w:szCs w:val="18"/>
              </w:rPr>
              <w:t>10</w:t>
            </w:r>
            <w:r w:rsidRPr="004A099B">
              <w:rPr>
                <w:sz w:val="18"/>
                <w:szCs w:val="18"/>
              </w:rPr>
              <w:br/>
              <w:t>330</w:t>
            </w:r>
          </w:p>
        </w:tc>
        <w:tc>
          <w:tcPr>
            <w:tcW w:w="1353" w:type="dxa"/>
            <w:vAlign w:val="center"/>
          </w:tcPr>
          <w:p w14:paraId="3A0D3658" w14:textId="77777777" w:rsidR="00EC59AD" w:rsidRPr="004A099B" w:rsidRDefault="00EC59AD" w:rsidP="00F37272">
            <w:pPr>
              <w:pStyle w:val="Tabletext"/>
              <w:jc w:val="center"/>
              <w:rPr>
                <w:sz w:val="18"/>
                <w:szCs w:val="18"/>
              </w:rPr>
            </w:pPr>
            <w:r w:rsidRPr="004A099B">
              <w:rPr>
                <w:sz w:val="18"/>
                <w:szCs w:val="18"/>
              </w:rPr>
              <w:t xml:space="preserve">1 930-2 000 </w:t>
            </w:r>
            <w:r w:rsidRPr="004A099B">
              <w:rPr>
                <w:sz w:val="18"/>
                <w:szCs w:val="18"/>
              </w:rPr>
              <w:br/>
              <w:t>2 110-2 180</w:t>
            </w:r>
          </w:p>
        </w:tc>
        <w:tc>
          <w:tcPr>
            <w:tcW w:w="1183" w:type="dxa"/>
            <w:vAlign w:val="center"/>
          </w:tcPr>
          <w:p w14:paraId="27EA9AD9" w14:textId="77777777" w:rsidR="00EC59AD" w:rsidRPr="004A099B" w:rsidRDefault="00EC59AD" w:rsidP="00F37272">
            <w:pPr>
              <w:pStyle w:val="Tabletext"/>
              <w:jc w:val="center"/>
              <w:rPr>
                <w:sz w:val="18"/>
                <w:szCs w:val="18"/>
              </w:rPr>
            </w:pPr>
            <w:r w:rsidRPr="004A099B">
              <w:rPr>
                <w:sz w:val="18"/>
                <w:szCs w:val="18"/>
              </w:rPr>
              <w:t>80</w:t>
            </w:r>
            <w:r w:rsidRPr="004A099B">
              <w:rPr>
                <w:sz w:val="18"/>
                <w:szCs w:val="18"/>
              </w:rPr>
              <w:br/>
              <w:t>400</w:t>
            </w:r>
          </w:p>
        </w:tc>
        <w:tc>
          <w:tcPr>
            <w:tcW w:w="1289" w:type="dxa"/>
            <w:vAlign w:val="center"/>
          </w:tcPr>
          <w:p w14:paraId="6E43383E" w14:textId="77777777" w:rsidR="00EC59AD" w:rsidRPr="004A099B" w:rsidRDefault="00EC59AD" w:rsidP="00F37272">
            <w:pPr>
              <w:pStyle w:val="Tabletext"/>
              <w:jc w:val="center"/>
              <w:rPr>
                <w:sz w:val="18"/>
                <w:szCs w:val="18"/>
              </w:rPr>
            </w:pPr>
            <w:r w:rsidRPr="004A099B">
              <w:rPr>
                <w:sz w:val="18"/>
                <w:szCs w:val="18"/>
              </w:rPr>
              <w:t>1 920-1 930</w:t>
            </w:r>
          </w:p>
        </w:tc>
        <w:tc>
          <w:tcPr>
            <w:tcW w:w="1036" w:type="dxa"/>
            <w:vAlign w:val="center"/>
          </w:tcPr>
          <w:p w14:paraId="23D19252" w14:textId="77777777" w:rsidR="00EC59AD" w:rsidRPr="004A099B" w:rsidRDefault="00EC59AD" w:rsidP="00F37272">
            <w:pPr>
              <w:pStyle w:val="Tabletext"/>
              <w:jc w:val="center"/>
              <w:rPr>
                <w:sz w:val="18"/>
                <w:szCs w:val="18"/>
              </w:rPr>
            </w:pPr>
            <w:r w:rsidRPr="004A099B">
              <w:rPr>
                <w:sz w:val="18"/>
                <w:szCs w:val="18"/>
              </w:rPr>
              <w:t>1, 2, 3, 5</w:t>
            </w:r>
          </w:p>
        </w:tc>
      </w:tr>
      <w:tr w:rsidR="00EC59AD" w:rsidRPr="004A099B" w14:paraId="32F5905D" w14:textId="77777777" w:rsidTr="00F37272">
        <w:trPr>
          <w:jc w:val="center"/>
        </w:trPr>
        <w:tc>
          <w:tcPr>
            <w:tcW w:w="2045" w:type="dxa"/>
            <w:vAlign w:val="center"/>
          </w:tcPr>
          <w:p w14:paraId="6F1A0CDB" w14:textId="77777777" w:rsidR="00EC59AD" w:rsidRPr="004A099B" w:rsidRDefault="00EC59AD" w:rsidP="00F37272">
            <w:pPr>
              <w:pStyle w:val="Tabletext"/>
              <w:jc w:val="center"/>
              <w:rPr>
                <w:sz w:val="18"/>
                <w:szCs w:val="18"/>
              </w:rPr>
            </w:pPr>
            <w:r w:rsidRPr="004A099B">
              <w:rPr>
                <w:sz w:val="18"/>
                <w:szCs w:val="18"/>
              </w:rPr>
              <w:t>B6</w:t>
            </w:r>
          </w:p>
        </w:tc>
        <w:tc>
          <w:tcPr>
            <w:tcW w:w="1558" w:type="dxa"/>
            <w:vAlign w:val="center"/>
          </w:tcPr>
          <w:p w14:paraId="556C1CD3" w14:textId="77777777" w:rsidR="00EC59AD" w:rsidRPr="004A099B" w:rsidRDefault="00EC59AD" w:rsidP="00F37272">
            <w:pPr>
              <w:pStyle w:val="Tabletext"/>
              <w:jc w:val="center"/>
              <w:rPr>
                <w:sz w:val="18"/>
                <w:szCs w:val="18"/>
              </w:rPr>
            </w:pPr>
            <w:r w:rsidRPr="004A099B">
              <w:rPr>
                <w:sz w:val="18"/>
                <w:szCs w:val="18"/>
              </w:rPr>
              <w:t>1 980-2 010</w:t>
            </w:r>
          </w:p>
        </w:tc>
        <w:tc>
          <w:tcPr>
            <w:tcW w:w="1175" w:type="dxa"/>
            <w:vAlign w:val="center"/>
          </w:tcPr>
          <w:p w14:paraId="2F9AC0D1" w14:textId="77777777" w:rsidR="00EC59AD" w:rsidRPr="004A099B" w:rsidRDefault="00EC59AD" w:rsidP="00F37272">
            <w:pPr>
              <w:pStyle w:val="Tabletext"/>
              <w:jc w:val="center"/>
              <w:rPr>
                <w:sz w:val="18"/>
                <w:szCs w:val="18"/>
              </w:rPr>
            </w:pPr>
            <w:r w:rsidRPr="004A099B">
              <w:rPr>
                <w:sz w:val="18"/>
                <w:szCs w:val="18"/>
              </w:rPr>
              <w:t>160</w:t>
            </w:r>
          </w:p>
        </w:tc>
        <w:tc>
          <w:tcPr>
            <w:tcW w:w="1353" w:type="dxa"/>
            <w:vAlign w:val="center"/>
          </w:tcPr>
          <w:p w14:paraId="5EE3D68F" w14:textId="77777777" w:rsidR="00EC59AD" w:rsidRPr="004A099B" w:rsidRDefault="00EC59AD" w:rsidP="00F37272">
            <w:pPr>
              <w:pStyle w:val="Tabletext"/>
              <w:jc w:val="center"/>
              <w:rPr>
                <w:sz w:val="18"/>
                <w:szCs w:val="18"/>
              </w:rPr>
            </w:pPr>
            <w:r w:rsidRPr="004A099B">
              <w:rPr>
                <w:sz w:val="18"/>
                <w:szCs w:val="18"/>
              </w:rPr>
              <w:t>2 170-2 200</w:t>
            </w:r>
          </w:p>
        </w:tc>
        <w:tc>
          <w:tcPr>
            <w:tcW w:w="1183" w:type="dxa"/>
            <w:vAlign w:val="center"/>
          </w:tcPr>
          <w:p w14:paraId="65AB1479" w14:textId="77777777" w:rsidR="00EC59AD" w:rsidRPr="004A099B" w:rsidRDefault="00EC59AD" w:rsidP="00F37272">
            <w:pPr>
              <w:pStyle w:val="Tabletext"/>
              <w:jc w:val="center"/>
              <w:rPr>
                <w:sz w:val="18"/>
                <w:szCs w:val="18"/>
              </w:rPr>
            </w:pPr>
            <w:r w:rsidRPr="004A099B">
              <w:rPr>
                <w:sz w:val="18"/>
                <w:szCs w:val="18"/>
              </w:rPr>
              <w:t>190</w:t>
            </w:r>
          </w:p>
        </w:tc>
        <w:tc>
          <w:tcPr>
            <w:tcW w:w="1289" w:type="dxa"/>
            <w:vAlign w:val="center"/>
          </w:tcPr>
          <w:p w14:paraId="6F3D4EB4" w14:textId="77777777" w:rsidR="00EC59AD" w:rsidRPr="004A099B" w:rsidRDefault="00EC59AD" w:rsidP="00F37272">
            <w:pPr>
              <w:pStyle w:val="Tabletext"/>
              <w:jc w:val="center"/>
              <w:rPr>
                <w:sz w:val="18"/>
                <w:szCs w:val="18"/>
              </w:rPr>
            </w:pPr>
            <w:r w:rsidRPr="004A099B">
              <w:rPr>
                <w:sz w:val="18"/>
                <w:szCs w:val="18"/>
              </w:rPr>
              <w:t>None</w:t>
            </w:r>
          </w:p>
        </w:tc>
        <w:tc>
          <w:tcPr>
            <w:tcW w:w="1036" w:type="dxa"/>
            <w:vAlign w:val="center"/>
          </w:tcPr>
          <w:p w14:paraId="1E014D0C" w14:textId="77777777" w:rsidR="00EC59AD" w:rsidRPr="004A099B" w:rsidRDefault="00EC59AD" w:rsidP="00F37272">
            <w:pPr>
              <w:pStyle w:val="Tabletext"/>
              <w:jc w:val="center"/>
              <w:rPr>
                <w:sz w:val="18"/>
                <w:szCs w:val="18"/>
              </w:rPr>
            </w:pPr>
            <w:r w:rsidRPr="004A099B">
              <w:rPr>
                <w:sz w:val="18"/>
                <w:szCs w:val="18"/>
              </w:rPr>
              <w:t>4, 5</w:t>
            </w:r>
          </w:p>
        </w:tc>
      </w:tr>
      <w:tr w:rsidR="00EC59AD" w:rsidRPr="004A099B" w14:paraId="66B82F87" w14:textId="77777777" w:rsidTr="00F37272">
        <w:tblPrEx>
          <w:tblLook w:val="04A0" w:firstRow="1" w:lastRow="0" w:firstColumn="1" w:lastColumn="0" w:noHBand="0" w:noVBand="1"/>
        </w:tblPrEx>
        <w:trPr>
          <w:jc w:val="center"/>
        </w:trPr>
        <w:tc>
          <w:tcPr>
            <w:tcW w:w="2045" w:type="dxa"/>
            <w:tcBorders>
              <w:top w:val="single" w:sz="4" w:space="0" w:color="auto"/>
              <w:left w:val="single" w:sz="4" w:space="0" w:color="auto"/>
              <w:bottom w:val="single" w:sz="4" w:space="0" w:color="auto"/>
              <w:right w:val="single" w:sz="4" w:space="0" w:color="auto"/>
            </w:tcBorders>
            <w:vAlign w:val="center"/>
            <w:hideMark/>
          </w:tcPr>
          <w:p w14:paraId="11B012CF" w14:textId="77777777" w:rsidR="00EC59AD" w:rsidRPr="004A099B" w:rsidRDefault="00EC59AD" w:rsidP="00F37272">
            <w:pPr>
              <w:pStyle w:val="Tabletext"/>
              <w:jc w:val="center"/>
              <w:rPr>
                <w:sz w:val="18"/>
                <w:szCs w:val="18"/>
                <w:lang w:eastAsia="zh-CN"/>
              </w:rPr>
            </w:pPr>
            <w:r w:rsidRPr="004A099B">
              <w:rPr>
                <w:sz w:val="18"/>
                <w:szCs w:val="18"/>
                <w:lang w:eastAsia="zh-CN"/>
              </w:rPr>
              <w:t>B7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ACE4C91" w14:textId="77777777" w:rsidR="00EC59AD" w:rsidRPr="004A099B" w:rsidRDefault="00EC59AD" w:rsidP="00F37272">
            <w:pPr>
              <w:pStyle w:val="Tabletext"/>
              <w:jc w:val="center"/>
              <w:rPr>
                <w:sz w:val="18"/>
                <w:szCs w:val="18"/>
                <w:lang w:eastAsia="zh-CN"/>
              </w:rPr>
            </w:pPr>
            <w:r w:rsidRPr="004A099B">
              <w:rPr>
                <w:sz w:val="18"/>
                <w:szCs w:val="18"/>
                <w:lang w:eastAsia="zh-CN"/>
              </w:rPr>
              <w:t>2 000-2 020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75C2773" w14:textId="77777777" w:rsidR="00EC59AD" w:rsidRPr="004A099B" w:rsidRDefault="00EC59AD" w:rsidP="00F37272">
            <w:pPr>
              <w:pStyle w:val="Tabletext"/>
              <w:jc w:val="center"/>
              <w:rPr>
                <w:sz w:val="18"/>
                <w:szCs w:val="18"/>
                <w:lang w:eastAsia="zh-CN"/>
              </w:rPr>
            </w:pPr>
            <w:r w:rsidRPr="004A099B">
              <w:rPr>
                <w:sz w:val="18"/>
                <w:szCs w:val="18"/>
                <w:lang w:eastAsia="zh-CN"/>
              </w:rPr>
              <w:t>160</w:t>
            </w:r>
          </w:p>
        </w:tc>
        <w:tc>
          <w:tcPr>
            <w:tcW w:w="1353" w:type="dxa"/>
            <w:tcBorders>
              <w:top w:val="single" w:sz="4" w:space="0" w:color="auto"/>
              <w:left w:val="single" w:sz="4" w:space="0" w:color="auto"/>
              <w:bottom w:val="single" w:sz="4" w:space="0" w:color="auto"/>
              <w:right w:val="single" w:sz="4" w:space="0" w:color="auto"/>
            </w:tcBorders>
            <w:vAlign w:val="center"/>
            <w:hideMark/>
          </w:tcPr>
          <w:p w14:paraId="35623946" w14:textId="77777777" w:rsidR="00EC59AD" w:rsidRPr="004A099B" w:rsidRDefault="00EC59AD" w:rsidP="00F37272">
            <w:pPr>
              <w:pStyle w:val="Tabletext"/>
              <w:jc w:val="center"/>
              <w:rPr>
                <w:sz w:val="18"/>
                <w:szCs w:val="18"/>
                <w:lang w:eastAsia="zh-CN"/>
              </w:rPr>
            </w:pPr>
            <w:r w:rsidRPr="004A099B">
              <w:rPr>
                <w:sz w:val="18"/>
                <w:szCs w:val="18"/>
                <w:lang w:eastAsia="zh-CN"/>
              </w:rPr>
              <w:t>2 180-2 200</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43C0BBF" w14:textId="77777777" w:rsidR="00EC59AD" w:rsidRPr="004A099B" w:rsidRDefault="00EC59AD" w:rsidP="00F37272">
            <w:pPr>
              <w:pStyle w:val="Tabletext"/>
              <w:jc w:val="center"/>
              <w:rPr>
                <w:sz w:val="18"/>
                <w:szCs w:val="18"/>
                <w:lang w:eastAsia="zh-CN"/>
              </w:rPr>
            </w:pPr>
            <w:r w:rsidRPr="004A099B">
              <w:rPr>
                <w:sz w:val="18"/>
                <w:szCs w:val="18"/>
                <w:lang w:eastAsia="zh-CN"/>
              </w:rPr>
              <w:t>180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E9B65A4" w14:textId="77777777" w:rsidR="00EC59AD" w:rsidRPr="004A099B" w:rsidRDefault="00EC59AD" w:rsidP="00F37272">
            <w:pPr>
              <w:pStyle w:val="Tabletext"/>
              <w:jc w:val="center"/>
              <w:rPr>
                <w:sz w:val="18"/>
                <w:szCs w:val="18"/>
                <w:lang w:eastAsia="zh-CN"/>
              </w:rPr>
            </w:pPr>
            <w:r w:rsidRPr="004A099B">
              <w:rPr>
                <w:sz w:val="18"/>
                <w:szCs w:val="18"/>
                <w:lang w:eastAsia="zh-CN"/>
              </w:rPr>
              <w:t>None</w:t>
            </w:r>
          </w:p>
        </w:tc>
        <w:tc>
          <w:tcPr>
            <w:tcW w:w="1036" w:type="dxa"/>
            <w:tcBorders>
              <w:top w:val="single" w:sz="4" w:space="0" w:color="auto"/>
              <w:left w:val="single" w:sz="4" w:space="0" w:color="auto"/>
              <w:bottom w:val="single" w:sz="4" w:space="0" w:color="auto"/>
              <w:right w:val="single" w:sz="4" w:space="0" w:color="auto"/>
            </w:tcBorders>
            <w:vAlign w:val="center"/>
          </w:tcPr>
          <w:p w14:paraId="0A973AD2" w14:textId="77777777" w:rsidR="00EC59AD" w:rsidRPr="004A099B" w:rsidRDefault="00EC59AD" w:rsidP="00F37272">
            <w:pPr>
              <w:pStyle w:val="Tabletext"/>
              <w:jc w:val="center"/>
              <w:rPr>
                <w:sz w:val="18"/>
                <w:szCs w:val="18"/>
                <w:lang w:eastAsia="zh-CN"/>
              </w:rPr>
            </w:pPr>
            <w:r w:rsidRPr="004A099B">
              <w:rPr>
                <w:sz w:val="18"/>
                <w:szCs w:val="18"/>
                <w:lang w:eastAsia="zh-CN"/>
              </w:rPr>
              <w:t>5</w:t>
            </w:r>
          </w:p>
        </w:tc>
      </w:tr>
    </w:tbl>
    <w:p w14:paraId="43043272" w14:textId="77777777" w:rsidR="00524123" w:rsidRPr="00A20C33" w:rsidRDefault="00524123" w:rsidP="00524123">
      <w:pPr>
        <w:pStyle w:val="Note"/>
        <w:rPr>
          <w:lang w:val="en-GB"/>
        </w:rPr>
      </w:pPr>
      <w:r w:rsidRPr="00A20C33">
        <w:rPr>
          <w:i/>
          <w:lang w:val="en-GB"/>
        </w:rPr>
        <w:t>Note 4:</w:t>
      </w:r>
      <w:r w:rsidRPr="00A20C33">
        <w:rPr>
          <w:lang w:val="en-GB"/>
        </w:rPr>
        <w:t> The bands 1 980-2 010 MHz and 2 170-2 200 MHz in the frequency arrangement B6 are intended to be used in combination with the frequency arrangements B1 or B4 which provides even further optimization of the use of spectrum for paired IMT operation (see Note 1).</w:t>
      </w:r>
    </w:p>
    <w:p w14:paraId="1310288B" w14:textId="77777777" w:rsidR="00524123" w:rsidRPr="00524123" w:rsidRDefault="00524123" w:rsidP="00524123">
      <w:pPr>
        <w:pStyle w:val="Note"/>
        <w:rPr>
          <w:i/>
          <w:lang w:val="en-GB"/>
        </w:rPr>
      </w:pPr>
      <w:r w:rsidRPr="00A20C33">
        <w:rPr>
          <w:i/>
          <w:lang w:val="en-GB"/>
        </w:rPr>
        <w:t>Note 5:</w:t>
      </w:r>
      <w:r w:rsidRPr="00524123">
        <w:rPr>
          <w:lang w:val="en-GB"/>
        </w:rPr>
        <w:t> A unique situation exists for the frequency arrangements B6 and B7 and parts of arrangements B3 and B5 in the bands 1 980-2 010 MHz and 2 170-2 200 MHz, which have been identified for the terrestrial component of IMT and the satellite component of IMT as outlined in recognizing d).</w:t>
      </w:r>
      <w:r w:rsidR="00611363">
        <w:rPr>
          <w:lang w:val="en-GB"/>
        </w:rPr>
        <w:t xml:space="preserve"> </w:t>
      </w:r>
      <w:r w:rsidRPr="00524123">
        <w:rPr>
          <w:lang w:val="en-GB"/>
        </w:rPr>
        <w:t>Co</w:t>
      </w:r>
      <w:r w:rsidRPr="00524123">
        <w:rPr>
          <w:lang w:val="en-GB"/>
        </w:rPr>
        <w:noBreakHyphen/>
        <w:t>coverage, co</w:t>
      </w:r>
      <w:r w:rsidRPr="00524123">
        <w:rPr>
          <w:lang w:val="en-GB"/>
        </w:rPr>
        <w:noBreakHyphen/>
        <w:t>frequency deployment of independent satellite and terrestrial IMT components is not feasible unless appropriate mitigation techniques are applied. When these components are deployed in adjacent geographical areas in the same frequency bands, technical or operational measures need to be implemented if harmful interference is reported. Further studies may be carried out by ITU</w:t>
      </w:r>
      <w:r w:rsidRPr="00524123">
        <w:rPr>
          <w:lang w:val="en-GB"/>
        </w:rPr>
        <w:noBreakHyphen/>
        <w:t xml:space="preserve">R, as appropriate, </w:t>
      </w:r>
      <w:proofErr w:type="gramStart"/>
      <w:r w:rsidRPr="00524123">
        <w:rPr>
          <w:lang w:val="en-GB"/>
        </w:rPr>
        <w:t>taking into account</w:t>
      </w:r>
      <w:proofErr w:type="gramEnd"/>
      <w:r w:rsidRPr="00524123">
        <w:rPr>
          <w:lang w:val="en-GB"/>
        </w:rPr>
        <w:t xml:space="preserve"> the results of WRC-19.</w:t>
      </w:r>
    </w:p>
    <w:p w14:paraId="6DF009E6" w14:textId="77777777" w:rsidR="00524123" w:rsidRPr="00A63A0D" w:rsidRDefault="00524123" w:rsidP="00524123">
      <w:pPr>
        <w:spacing w:after="160"/>
        <w:jc w:val="both"/>
        <w:rPr>
          <w:rFonts w:cstheme="minorBidi"/>
          <w:iCs/>
          <w:szCs w:val="30"/>
          <w:cs/>
          <w:lang w:bidi="th-TH"/>
        </w:rPr>
      </w:pPr>
    </w:p>
    <w:p w14:paraId="2CB8BF9B" w14:textId="77777777" w:rsidR="00EC59AD" w:rsidRPr="004A099B" w:rsidRDefault="00EC59AD" w:rsidP="00EC59AD">
      <w:pPr>
        <w:spacing w:after="160"/>
        <w:jc w:val="both"/>
        <w:rPr>
          <w:iCs/>
        </w:rPr>
      </w:pPr>
      <w:r w:rsidRPr="004A099B">
        <w:rPr>
          <w:iCs/>
        </w:rPr>
        <w:t xml:space="preserve">Resolution 212 </w:t>
      </w:r>
      <w:r w:rsidR="007457FB" w:rsidRPr="004A099B">
        <w:rPr>
          <w:iCs/>
        </w:rPr>
        <w:t>(Rev.</w:t>
      </w:r>
      <w:r w:rsidR="00106546" w:rsidRPr="004A099B">
        <w:rPr>
          <w:iCs/>
        </w:rPr>
        <w:t xml:space="preserve"> WRC-</w:t>
      </w:r>
      <w:r w:rsidR="007457FB" w:rsidRPr="004A099B">
        <w:rPr>
          <w:iCs/>
        </w:rPr>
        <w:t xml:space="preserve">19) </w:t>
      </w:r>
      <w:r w:rsidRPr="004A099B">
        <w:rPr>
          <w:iCs/>
        </w:rPr>
        <w:t>states that “administrations should take the technical and operational measures, such as those found in the Annex to this Resolution, to facilitate coexistence and compatibility between the terrestrial and satellite components of IMT in the frequency bands 1 980-2 010 MHz and 2 170</w:t>
      </w:r>
      <w:r w:rsidRPr="004A099B">
        <w:rPr>
          <w:iCs/>
        </w:rPr>
        <w:noBreakHyphen/>
        <w:t>2 200 MHz” and that, “in the event of harmful interference, the concerned administrations should investigate and take technical and operational measures, as appropriate, to reduce interference to an acceptable level”.</w:t>
      </w:r>
      <w:r w:rsidR="00524123">
        <w:rPr>
          <w:iCs/>
        </w:rPr>
        <w:t xml:space="preserve"> </w:t>
      </w:r>
      <w:r w:rsidRPr="004A099B">
        <w:rPr>
          <w:iCs/>
        </w:rPr>
        <w:t>The Annex in Resolution 212 (R</w:t>
      </w:r>
      <w:r w:rsidR="00106546" w:rsidRPr="004A099B">
        <w:rPr>
          <w:iCs/>
        </w:rPr>
        <w:t>ev.</w:t>
      </w:r>
      <w:r w:rsidRPr="004A099B">
        <w:rPr>
          <w:iCs/>
        </w:rPr>
        <w:t xml:space="preserve"> WRC-19) also states that " Set the transmission direction for the use of the frequency band 1 980-2 010 MHz with regard to the IMT base station to operate in receive mode as found in relevant ITU</w:t>
      </w:r>
      <w:r w:rsidRPr="004A099B">
        <w:rPr>
          <w:iCs/>
        </w:rPr>
        <w:noBreakHyphen/>
        <w:t xml:space="preserve">R Recommendations.”  </w:t>
      </w:r>
    </w:p>
    <w:p w14:paraId="469B6B4F" w14:textId="41EAEF01" w:rsidR="00E21639" w:rsidRDefault="00E21639" w:rsidP="00E21639">
      <w:pPr>
        <w:spacing w:after="160"/>
        <w:jc w:val="both"/>
        <w:rPr>
          <w:rFonts w:eastAsiaTheme="minorEastAsia"/>
          <w:lang w:val="en-GB" w:eastAsia="zh-CN"/>
        </w:rPr>
      </w:pPr>
      <w:r>
        <w:rPr>
          <w:rFonts w:eastAsiaTheme="minorEastAsia" w:hint="eastAsia"/>
          <w:lang w:val="en-GB" w:eastAsia="zh-CN"/>
        </w:rPr>
        <w:t>F</w:t>
      </w:r>
      <w:r>
        <w:rPr>
          <w:rFonts w:eastAsiaTheme="minorEastAsia"/>
          <w:lang w:val="en-GB" w:eastAsia="zh-CN"/>
        </w:rPr>
        <w:t xml:space="preserve">or </w:t>
      </w:r>
      <w:r w:rsidR="003B249B" w:rsidRPr="00E21639">
        <w:rPr>
          <w:rFonts w:eastAsiaTheme="minorEastAsia"/>
          <w:lang w:val="en-GB" w:eastAsia="zh-CN"/>
        </w:rPr>
        <w:t>Technical and Operational Measures</w:t>
      </w:r>
      <w:r w:rsidRPr="00E21639">
        <w:rPr>
          <w:rFonts w:eastAsiaTheme="minorEastAsia"/>
          <w:lang w:val="en-GB" w:eastAsia="zh-CN"/>
        </w:rPr>
        <w:t xml:space="preserve"> </w:t>
      </w:r>
      <w:r w:rsidR="003B249B" w:rsidRPr="00E21639">
        <w:rPr>
          <w:rFonts w:eastAsiaTheme="minorEastAsia"/>
          <w:lang w:val="en-GB" w:eastAsia="zh-CN"/>
        </w:rPr>
        <w:t>for</w:t>
      </w:r>
      <w:r w:rsidRPr="00E21639">
        <w:rPr>
          <w:rFonts w:eastAsiaTheme="minorEastAsia"/>
          <w:lang w:val="en-GB" w:eastAsia="zh-CN"/>
        </w:rPr>
        <w:t xml:space="preserve"> </w:t>
      </w:r>
      <w:r w:rsidR="003B249B" w:rsidRPr="00E21639">
        <w:rPr>
          <w:rFonts w:eastAsiaTheme="minorEastAsia"/>
          <w:lang w:val="en-GB" w:eastAsia="zh-CN"/>
        </w:rPr>
        <w:t>Coexistence Between Terrestrial and Satellite</w:t>
      </w:r>
      <w:r w:rsidRPr="00E21639">
        <w:rPr>
          <w:rFonts w:eastAsiaTheme="minorEastAsia"/>
          <w:lang w:val="en-GB" w:eastAsia="zh-CN"/>
        </w:rPr>
        <w:t xml:space="preserve"> IMT </w:t>
      </w:r>
      <w:r w:rsidR="003B249B" w:rsidRPr="00E21639">
        <w:rPr>
          <w:rFonts w:eastAsiaTheme="minorEastAsia"/>
          <w:lang w:val="en-GB" w:eastAsia="zh-CN"/>
        </w:rPr>
        <w:t>Systems Deployed in the</w:t>
      </w:r>
      <w:r w:rsidRPr="00E21639">
        <w:rPr>
          <w:rFonts w:eastAsiaTheme="minorEastAsia"/>
          <w:lang w:val="en-GB" w:eastAsia="zh-CN"/>
        </w:rPr>
        <w:t xml:space="preserve"> </w:t>
      </w:r>
      <w:r w:rsidR="003B249B" w:rsidRPr="00E21639">
        <w:rPr>
          <w:rFonts w:eastAsiaTheme="minorEastAsia"/>
          <w:lang w:val="en-GB" w:eastAsia="zh-CN"/>
        </w:rPr>
        <w:t>Frequency Bands</w:t>
      </w:r>
      <w:r w:rsidRPr="00E21639">
        <w:rPr>
          <w:rFonts w:eastAsiaTheme="minorEastAsia"/>
          <w:lang w:val="en-GB" w:eastAsia="zh-CN"/>
        </w:rPr>
        <w:t xml:space="preserve"> </w:t>
      </w:r>
      <w:r w:rsidR="003B249B" w:rsidRPr="00E21639">
        <w:rPr>
          <w:rFonts w:eastAsiaTheme="minorEastAsia"/>
          <w:lang w:val="en-GB" w:eastAsia="zh-CN"/>
        </w:rPr>
        <w:t>of</w:t>
      </w:r>
      <w:r w:rsidRPr="00E21639">
        <w:rPr>
          <w:rFonts w:eastAsiaTheme="minorEastAsia"/>
          <w:lang w:val="en-GB" w:eastAsia="zh-CN"/>
        </w:rPr>
        <w:t xml:space="preserve"> 1 980-2 010 MH</w:t>
      </w:r>
      <w:r w:rsidR="003B249B">
        <w:rPr>
          <w:rFonts w:eastAsiaTheme="minorEastAsia"/>
          <w:lang w:val="en-GB" w:eastAsia="zh-CN"/>
        </w:rPr>
        <w:t>z</w:t>
      </w:r>
      <w:r w:rsidRPr="00E21639">
        <w:rPr>
          <w:rFonts w:eastAsiaTheme="minorEastAsia"/>
          <w:lang w:val="en-GB" w:eastAsia="zh-CN"/>
        </w:rPr>
        <w:t xml:space="preserve"> </w:t>
      </w:r>
      <w:r w:rsidR="003B249B" w:rsidRPr="00E21639">
        <w:rPr>
          <w:rFonts w:eastAsiaTheme="minorEastAsia"/>
          <w:lang w:val="en-GB" w:eastAsia="zh-CN"/>
        </w:rPr>
        <w:t>and</w:t>
      </w:r>
      <w:r w:rsidRPr="00E21639">
        <w:rPr>
          <w:rFonts w:eastAsiaTheme="minorEastAsia"/>
          <w:lang w:val="en-GB" w:eastAsia="zh-CN"/>
        </w:rPr>
        <w:t xml:space="preserve"> 2 170-2 200 MHZ </w:t>
      </w:r>
      <w:r w:rsidR="003B249B" w:rsidRPr="00E21639">
        <w:rPr>
          <w:rFonts w:eastAsiaTheme="minorEastAsia"/>
          <w:lang w:val="en-GB" w:eastAsia="zh-CN"/>
        </w:rPr>
        <w:t>in the Asia-Pacific Region</w:t>
      </w:r>
      <w:r>
        <w:rPr>
          <w:rFonts w:eastAsiaTheme="minorEastAsia"/>
          <w:lang w:val="en-GB" w:eastAsia="zh-CN"/>
        </w:rPr>
        <w:t xml:space="preserve">, </w:t>
      </w:r>
      <w:r w:rsidR="003B249B">
        <w:rPr>
          <w:rFonts w:eastAsiaTheme="minorEastAsia"/>
          <w:lang w:val="en-GB" w:eastAsia="zh-CN"/>
        </w:rPr>
        <w:t xml:space="preserve">refer to the </w:t>
      </w:r>
      <w:r w:rsidR="00A63A0D" w:rsidRPr="00A63A0D">
        <w:rPr>
          <w:bCs/>
        </w:rPr>
        <w:t>APT/AWG/REP-125</w:t>
      </w:r>
      <w:r>
        <w:rPr>
          <w:rFonts w:eastAsiaTheme="minorEastAsia"/>
          <w:lang w:val="en-GB" w:eastAsia="zh-CN"/>
        </w:rPr>
        <w:t>.</w:t>
      </w:r>
    </w:p>
    <w:p w14:paraId="537092E9" w14:textId="77777777" w:rsidR="00E21639" w:rsidRDefault="00E21639" w:rsidP="00E21639">
      <w:pPr>
        <w:spacing w:after="160"/>
        <w:jc w:val="both"/>
      </w:pPr>
      <w:r>
        <w:rPr>
          <w:rFonts w:eastAsiaTheme="minorEastAsia"/>
          <w:lang w:val="en-GB" w:eastAsia="zh-CN"/>
        </w:rPr>
        <w:t xml:space="preserve">As indicated in section 6 </w:t>
      </w:r>
      <w:r>
        <w:rPr>
          <w:lang w:eastAsia="ja-JP"/>
        </w:rPr>
        <w:t>Possible solutions in Asia-Pacific region</w:t>
      </w:r>
      <w:r>
        <w:rPr>
          <w:rFonts w:eastAsiaTheme="minorEastAsia"/>
          <w:lang w:val="en-GB" w:eastAsia="zh-CN"/>
        </w:rPr>
        <w:t xml:space="preserve">, </w:t>
      </w:r>
      <w:r>
        <w:t>f</w:t>
      </w:r>
      <w:r w:rsidRPr="001C4422">
        <w:t>or those administrations wishing to implement the terrestrial component of IMT in the bands 1 980 – 2 010 MHz and 2 170 – 2 200 MHz, the frequency arrangement B6 in Recommendation ITU-R M.1036 is the only possible solution in Asia Pacific region. When the Satellite and Terrestrial components of IMT are deployed in adjacent geographical areas in the same frequency bands, technical or operational measures may need to be implemented to improve the coexistence and compatibility of the two components of IMT in border areas.</w:t>
      </w:r>
    </w:p>
    <w:p w14:paraId="20C0CCFD" w14:textId="7F665B3E" w:rsidR="0096367D" w:rsidRPr="00B67548" w:rsidRDefault="0096367D" w:rsidP="0096367D">
      <w:pPr>
        <w:spacing w:after="160"/>
        <w:jc w:val="both"/>
        <w:rPr>
          <w:i/>
        </w:rPr>
      </w:pPr>
      <w:r w:rsidRPr="00B362BD">
        <w:t>To date, there have been more than 160 5G commercial launches across the</w:t>
      </w:r>
      <w:r>
        <w:t xml:space="preserve"> </w:t>
      </w:r>
      <w:r w:rsidRPr="00B362BD">
        <w:t>world. The population coverage by the end of 2020 was approximately</w:t>
      </w:r>
      <w:r>
        <w:t xml:space="preserve"> </w:t>
      </w:r>
      <w:r w:rsidRPr="00B362BD">
        <w:t>15 percent, equivalent to over 1 billion people.</w:t>
      </w:r>
      <w:r>
        <w:t xml:space="preserve"> </w:t>
      </w:r>
      <w:r w:rsidRPr="00B362BD">
        <w:t xml:space="preserve">5G coverage build-out can be divided into three broad </w:t>
      </w:r>
      <w:proofErr w:type="gramStart"/>
      <w:r w:rsidRPr="00B362BD">
        <w:t>deployments</w:t>
      </w:r>
      <w:r>
        <w:t>;</w:t>
      </w:r>
      <w:proofErr w:type="gramEnd"/>
      <w:r>
        <w:t xml:space="preserve"> n</w:t>
      </w:r>
      <w:r w:rsidRPr="00B362BD">
        <w:t>ew bands in the sub-6GHz range</w:t>
      </w:r>
      <w:r>
        <w:t xml:space="preserve">, </w:t>
      </w:r>
      <w:r w:rsidRPr="00B362BD">
        <w:t>mmWave frequency bands</w:t>
      </w:r>
      <w:r>
        <w:t>, e</w:t>
      </w:r>
      <w:r w:rsidRPr="00B362BD">
        <w:t>xisting LTE bands</w:t>
      </w:r>
      <w:r>
        <w:t xml:space="preserve">. </w:t>
      </w:r>
      <w:r w:rsidRPr="00B362BD">
        <w:t>There are big differences between countries in how service providers have</w:t>
      </w:r>
      <w:r>
        <w:t xml:space="preserve"> </w:t>
      </w:r>
      <w:r w:rsidRPr="00B362BD">
        <w:t>started to deploy 5G. In the US, all three of these categories have been used,</w:t>
      </w:r>
      <w:r>
        <w:t xml:space="preserve"> </w:t>
      </w:r>
      <w:r w:rsidRPr="00B362BD">
        <w:t xml:space="preserve">resulting in 5G coverage for a large part of the population. In Europe, </w:t>
      </w:r>
      <w:r>
        <w:t xml:space="preserve">many </w:t>
      </w:r>
      <w:r w:rsidRPr="00B362BD">
        <w:t>countries have deployed in existing bands to create substantial coverage. New bands in the sub-6GHz range – often referred to as</w:t>
      </w:r>
      <w:r>
        <w:t xml:space="preserve"> </w:t>
      </w:r>
      <w:r w:rsidRPr="00B362BD">
        <w:t>mid-bands – are available in many markets, offering a good mix of network</w:t>
      </w:r>
      <w:r>
        <w:t xml:space="preserve"> </w:t>
      </w:r>
      <w:r w:rsidRPr="00B362BD">
        <w:t>coverage, capacity, and speed.</w:t>
      </w:r>
      <w:r>
        <w:t xml:space="preserve"> </w:t>
      </w:r>
      <w:r w:rsidRPr="00B362BD">
        <w:t xml:space="preserve">If a legacy technology is shut down, the corresponding spectrum band will be used for a newer </w:t>
      </w:r>
      <w:r>
        <w:t>IMT</w:t>
      </w:r>
      <w:r w:rsidRPr="00B362BD">
        <w:t xml:space="preserve"> technology and have no negative impact on network coverage.</w:t>
      </w:r>
      <w:r>
        <w:t xml:space="preserve"> As described in Figure 2 the global population coverage by technology for terrestrial mobile cellular systems for 4G LTE is estimated to be around 95% and for 5G NR around 60% by 2026. The frequency band 1920 – 1980 / 2110 – 2170 MHz is a key band today for 3G/IMT-2000, 4G/IMT-Advanced and now also 5G/IMT-2020.</w:t>
      </w:r>
      <w:r w:rsidR="00251653">
        <w:t xml:space="preserve"> </w:t>
      </w:r>
    </w:p>
    <w:p w14:paraId="1F84BF4F" w14:textId="2E3AC938" w:rsidR="00251653" w:rsidRPr="00B362BD" w:rsidRDefault="001C7D4D" w:rsidP="00084471">
      <w:pPr>
        <w:spacing w:after="160"/>
        <w:jc w:val="center"/>
      </w:pPr>
      <w:r>
        <w:rPr>
          <w:noProof/>
        </w:rPr>
        <w:lastRenderedPageBreak/>
        <w:drawing>
          <wp:inline distT="0" distB="0" distL="0" distR="0" wp14:anchorId="4E7AE36C" wp14:editId="4E9BA1B8">
            <wp:extent cx="2923148" cy="2295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9385" cy="2308422"/>
                    </a:xfrm>
                    <a:prstGeom prst="rect">
                      <a:avLst/>
                    </a:prstGeom>
                    <a:noFill/>
                  </pic:spPr>
                </pic:pic>
              </a:graphicData>
            </a:graphic>
          </wp:inline>
        </w:drawing>
      </w:r>
    </w:p>
    <w:p w14:paraId="42ABF26C" w14:textId="5D199B89" w:rsidR="0096367D" w:rsidRPr="00EC4D69" w:rsidRDefault="0096367D" w:rsidP="0096367D">
      <w:pPr>
        <w:pStyle w:val="TF"/>
        <w:rPr>
          <w:rFonts w:eastAsia="Times New Roman"/>
        </w:rPr>
      </w:pPr>
      <w:r>
        <w:rPr>
          <w:rFonts w:eastAsia="Times New Roman"/>
        </w:rPr>
        <w:t xml:space="preserve">Fig 2. </w:t>
      </w:r>
      <w:r w:rsidRPr="00EC4D69">
        <w:rPr>
          <w:rFonts w:eastAsia="Times New Roman"/>
        </w:rPr>
        <w:t xml:space="preserve">World population coverage by technology. The figures refer to coverage of each technology. The ability to utilize the technology is subject to factors such as access to devices and </w:t>
      </w:r>
      <w:r w:rsidRPr="001C7D4D">
        <w:rPr>
          <w:rFonts w:eastAsia="Times New Roman"/>
        </w:rPr>
        <w:t xml:space="preserve">subscriptions </w:t>
      </w:r>
    </w:p>
    <w:p w14:paraId="597FDFF7" w14:textId="16693181" w:rsidR="0096367D" w:rsidRPr="00B67548" w:rsidRDefault="0096367D" w:rsidP="0096367D">
      <w:pPr>
        <w:spacing w:after="160"/>
        <w:jc w:val="both"/>
        <w:rPr>
          <w:rFonts w:eastAsia="MS PMincho"/>
          <w:i/>
          <w:lang w:val="en-GB" w:eastAsia="ja-JP"/>
        </w:rPr>
      </w:pPr>
      <w:r w:rsidRPr="00251653">
        <w:t xml:space="preserve">The 5G NR coverage comparison between 3500 MHz and some lower bands </w:t>
      </w:r>
      <w:proofErr w:type="gramStart"/>
      <w:r w:rsidRPr="00251653">
        <w:t>show</w:t>
      </w:r>
      <w:proofErr w:type="gramEnd"/>
      <w:r w:rsidRPr="00251653">
        <w:t xml:space="preserve"> that mobile operators, especially in developing countries, would benefit from deploying 5G NR in an extended 2100 MHz band to quickly have a nation-wide 5G coverage.</w:t>
      </w:r>
    </w:p>
    <w:p w14:paraId="19BFF28E" w14:textId="77777777" w:rsidR="0096367D" w:rsidRPr="00251653" w:rsidRDefault="0096367D" w:rsidP="00084471">
      <w:pPr>
        <w:spacing w:after="160"/>
        <w:jc w:val="center"/>
        <w:rPr>
          <w:rFonts w:eastAsia="MS PMincho"/>
          <w:lang w:eastAsia="ja-JP"/>
        </w:rPr>
      </w:pPr>
      <w:r w:rsidRPr="00251653">
        <w:rPr>
          <w:noProof/>
          <w:lang w:eastAsia="zh-CN"/>
        </w:rPr>
        <w:drawing>
          <wp:inline distT="0" distB="0" distL="0" distR="0" wp14:anchorId="7FBB612F" wp14:editId="02778ECE">
            <wp:extent cx="4597263" cy="2346247"/>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7840" cy="2351645"/>
                    </a:xfrm>
                    <a:prstGeom prst="rect">
                      <a:avLst/>
                    </a:prstGeom>
                  </pic:spPr>
                </pic:pic>
              </a:graphicData>
            </a:graphic>
          </wp:inline>
        </w:drawing>
      </w:r>
    </w:p>
    <w:p w14:paraId="73C8F3AB" w14:textId="77777777" w:rsidR="00251653" w:rsidRPr="00251653" w:rsidRDefault="0096367D" w:rsidP="0096367D">
      <w:pPr>
        <w:pStyle w:val="TF"/>
        <w:rPr>
          <w:rFonts w:eastAsia="Times New Roman"/>
        </w:rPr>
      </w:pPr>
      <w:r w:rsidRPr="00251653">
        <w:rPr>
          <w:rFonts w:eastAsia="Times New Roman"/>
        </w:rPr>
        <w:t>Figure 3: Coverage comparison for some bands between 3500 MHz to 800 MHz</w:t>
      </w:r>
      <w:r w:rsidR="00251653" w:rsidRPr="00251653">
        <w:rPr>
          <w:rFonts w:eastAsia="Times New Roman"/>
        </w:rPr>
        <w:t xml:space="preserve"> </w:t>
      </w:r>
    </w:p>
    <w:p w14:paraId="7F38EF43" w14:textId="77777777" w:rsidR="0096367D" w:rsidRDefault="0096367D" w:rsidP="0096367D">
      <w:pPr>
        <w:spacing w:before="120" w:after="120"/>
        <w:jc w:val="both"/>
      </w:pPr>
      <w:r>
        <w:rPr>
          <w:rFonts w:eastAsia="MS Mincho"/>
          <w:lang w:val="en-AU" w:eastAsia="ja-JP"/>
        </w:rPr>
        <w:t>The frequency range 1920 – 2010 / 2110 – 2200</w:t>
      </w:r>
      <w:r w:rsidRPr="00EF6E8C">
        <w:rPr>
          <w:rFonts w:eastAsia="MS Mincho"/>
          <w:lang w:val="en-AU" w:eastAsia="ja-JP"/>
        </w:rPr>
        <w:t xml:space="preserve"> MH</w:t>
      </w:r>
      <w:r>
        <w:rPr>
          <w:rFonts w:eastAsia="MS Mincho"/>
          <w:lang w:val="en-AU" w:eastAsia="ja-JP"/>
        </w:rPr>
        <w:t>z has been specified by 3GPP for both LTE and 5G NR as band 65 and n65, respectively, and thus provides an efficient 2x90 MHz arrangement with</w:t>
      </w:r>
      <w:r>
        <w:t xml:space="preserve"> good capacity and large bandwidths for 4G-LTE as well as better coverage for 5G-NR systems with attractive and limited investment. The 3GPP TR 36.681 contains the study results for making 1980 – 2010 / 2170 – 2200 MHz available for terrestrial use in </w:t>
      </w:r>
      <w:proofErr w:type="gramStart"/>
      <w:r>
        <w:t>Region</w:t>
      </w:r>
      <w:proofErr w:type="gramEnd"/>
      <w:r>
        <w:t xml:space="preserve"> 3. The TR aimed to cover the feasibility of having a full band that would also include Band 1, i.e., what would eventually become the new Band 65, for LTE. The TR investigated implementation aspects such as duplexer options as well as co-existence issues with neighbouring bands. See TR 36.681 for the details. As a result of the study, a full band 3GPP Band 65 was seen feasible to be specified. </w:t>
      </w:r>
    </w:p>
    <w:p w14:paraId="463FDF31" w14:textId="53810BFD" w:rsidR="0096367D" w:rsidRDefault="0096367D" w:rsidP="0096367D">
      <w:pPr>
        <w:spacing w:before="120" w:after="120"/>
        <w:jc w:val="both"/>
      </w:pPr>
      <w:r>
        <w:t xml:space="preserve">This extension of 3GPP Band 1/n1 is shown Figure </w:t>
      </w:r>
      <w:r w:rsidR="00084471">
        <w:t>4</w:t>
      </w:r>
      <w:r>
        <w:t xml:space="preserve"> (taken from TR 38.891, Figure 5.1, that contains the study results when NR was introduced as Band n65). The figure also shows the nearby 3GPP bands.</w:t>
      </w:r>
    </w:p>
    <w:p w14:paraId="1B622C66" w14:textId="77777777" w:rsidR="0096367D" w:rsidRDefault="0096367D" w:rsidP="0096367D">
      <w:pPr>
        <w:pStyle w:val="TH"/>
        <w:rPr>
          <w:rFonts w:eastAsia="SimSun"/>
        </w:rPr>
      </w:pPr>
      <w:r>
        <w:rPr>
          <w:noProof/>
          <w:lang w:val="en-US"/>
        </w:rPr>
        <w:lastRenderedPageBreak/>
        <w:drawing>
          <wp:inline distT="0" distB="0" distL="0" distR="0" wp14:anchorId="44D77F6D" wp14:editId="1A4050F1">
            <wp:extent cx="3048000" cy="2752725"/>
            <wp:effectExtent l="0" t="0" r="0" b="952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0" cy="2752725"/>
                    </a:xfrm>
                    <a:prstGeom prst="rect">
                      <a:avLst/>
                    </a:prstGeom>
                    <a:noFill/>
                    <a:ln>
                      <a:noFill/>
                    </a:ln>
                  </pic:spPr>
                </pic:pic>
              </a:graphicData>
            </a:graphic>
          </wp:inline>
        </w:drawing>
      </w:r>
    </w:p>
    <w:p w14:paraId="204E177A" w14:textId="77777777" w:rsidR="0096367D" w:rsidRDefault="0096367D" w:rsidP="0096367D">
      <w:pPr>
        <w:pStyle w:val="TF"/>
        <w:rPr>
          <w:rFonts w:eastAsia="Times New Roman"/>
        </w:rPr>
      </w:pPr>
      <w:r>
        <w:rPr>
          <w:rFonts w:eastAsia="Times New Roman"/>
        </w:rPr>
        <w:t>Figure 4: 3GPP bands nearby Band 65/n65</w:t>
      </w:r>
    </w:p>
    <w:p w14:paraId="6EE775AA" w14:textId="77777777" w:rsidR="0096367D" w:rsidRPr="00251653" w:rsidRDefault="0096367D" w:rsidP="0096367D">
      <w:pPr>
        <w:spacing w:before="120" w:after="120"/>
        <w:jc w:val="both"/>
        <w:rPr>
          <w:lang w:val="en-GB"/>
        </w:rPr>
      </w:pPr>
      <w:r w:rsidRPr="00251653">
        <w:rPr>
          <w:lang w:val="en-GB"/>
        </w:rPr>
        <w:t>3GPP has done co-existence studies for the related 3GPP bands</w:t>
      </w:r>
      <w:r w:rsidR="00951AAC" w:rsidRPr="00251653">
        <w:rPr>
          <w:lang w:val="en-GB"/>
        </w:rPr>
        <w:t xml:space="preserve"> between the terrestrial systems of IMT</w:t>
      </w:r>
      <w:r w:rsidRPr="00251653">
        <w:rPr>
          <w:lang w:val="en-GB"/>
        </w:rPr>
        <w:t xml:space="preserve">. PHS has also been considered in </w:t>
      </w:r>
      <w:proofErr w:type="gramStart"/>
      <w:r w:rsidRPr="00251653">
        <w:rPr>
          <w:lang w:val="en-GB"/>
        </w:rPr>
        <w:t>Region</w:t>
      </w:r>
      <w:proofErr w:type="gramEnd"/>
      <w:r w:rsidRPr="00251653">
        <w:rPr>
          <w:lang w:val="en-GB"/>
        </w:rPr>
        <w:t xml:space="preserve"> 3, located below the uplink portion, where the same protection as used for the Band n1 is applied. To protect </w:t>
      </w:r>
      <w:r w:rsidR="00951AAC" w:rsidRPr="00251653">
        <w:rPr>
          <w:lang w:val="en-GB"/>
        </w:rPr>
        <w:t xml:space="preserve">the terrestrial </w:t>
      </w:r>
      <w:r w:rsidRPr="00251653">
        <w:rPr>
          <w:lang w:val="en-GB"/>
        </w:rPr>
        <w:t>systems and bands the commonly used power reduction technique, Additional Maximum Power Reduction (A-MPR), is used. Out-of-band emissions masks have been defined to support co-existence</w:t>
      </w:r>
      <w:r w:rsidR="00951AAC" w:rsidRPr="00251653">
        <w:rPr>
          <w:lang w:val="en-GB"/>
        </w:rPr>
        <w:t xml:space="preserve"> between the terrestrial systems</w:t>
      </w:r>
      <w:r w:rsidRPr="00251653">
        <w:rPr>
          <w:lang w:val="en-GB"/>
        </w:rPr>
        <w:t xml:space="preserve">. For NR the outcome of the Band n65 feasibility study is captured in Technical Report (TR) 38.819. </w:t>
      </w:r>
    </w:p>
    <w:p w14:paraId="4099EC80" w14:textId="77777777" w:rsidR="0096367D" w:rsidRDefault="0096367D" w:rsidP="0096367D">
      <w:pPr>
        <w:spacing w:before="120" w:after="120"/>
        <w:jc w:val="both"/>
        <w:rPr>
          <w:lang w:val="en-GB"/>
        </w:rPr>
      </w:pPr>
      <w:r w:rsidRPr="00251653">
        <w:rPr>
          <w:lang w:val="en-GB"/>
        </w:rPr>
        <w:t>The unwanted emission limits are the same for Bands 65 and n65; for Band n65 an additional UE requirement is added for protection of 1900-1920 MHz from emissions from the 50 MHz channel bandwidth also supported by n65. The in-band requirements are the essentially same for Band 65 and n65 with due modifications for differences between the radio interfaces (</w:t>
      </w:r>
      <w:proofErr w:type="gramStart"/>
      <w:r w:rsidRPr="00251653">
        <w:rPr>
          <w:lang w:val="en-GB"/>
        </w:rPr>
        <w:t>e.g.</w:t>
      </w:r>
      <w:proofErr w:type="gramEnd"/>
      <w:r w:rsidRPr="00251653">
        <w:rPr>
          <w:lang w:val="en-GB"/>
        </w:rPr>
        <w:t xml:space="preserve"> spectrum utilization is higher for NR). The details can be found in the specifications: LTE Band 65 can be found in 3GPP technical specifications (TS) 36.101 and 36.104 for the UE and BS respectively. For the NR Band n65 the specifications can be found in </w:t>
      </w:r>
      <w:r w:rsidR="00D26572" w:rsidRPr="00251653">
        <w:rPr>
          <w:lang w:val="en-GB"/>
        </w:rPr>
        <w:t xml:space="preserve">the </w:t>
      </w:r>
      <w:r w:rsidRPr="00251653">
        <w:rPr>
          <w:lang w:val="en-GB"/>
        </w:rPr>
        <w:t xml:space="preserve">TSs 38.101-1 and 38.104. AAS details can be found in </w:t>
      </w:r>
      <w:r w:rsidR="00D26572" w:rsidRPr="00251653">
        <w:rPr>
          <w:lang w:val="en-GB"/>
        </w:rPr>
        <w:t xml:space="preserve">the </w:t>
      </w:r>
      <w:r w:rsidRPr="00251653">
        <w:rPr>
          <w:lang w:val="en-GB"/>
        </w:rPr>
        <w:t>3GPP TS 37.105.</w:t>
      </w:r>
      <w:r>
        <w:rPr>
          <w:lang w:val="en-GB"/>
        </w:rPr>
        <w:t xml:space="preserve"> </w:t>
      </w:r>
    </w:p>
    <w:p w14:paraId="6C12BA25" w14:textId="77777777" w:rsidR="00D26572" w:rsidRPr="00251653" w:rsidRDefault="00D26572" w:rsidP="00D26572">
      <w:pPr>
        <w:spacing w:before="120" w:after="120"/>
        <w:jc w:val="both"/>
        <w:rPr>
          <w:lang w:val="en-GB"/>
        </w:rPr>
      </w:pPr>
      <w:r w:rsidRPr="00251653">
        <w:rPr>
          <w:lang w:val="en-GB"/>
        </w:rPr>
        <w:t>It is noted that the NR spectrum utilization is more efficient as more contiguous bandwidth is available, thus, the combination of B1 and B6 increases the spectral efficiency of mobile cellular networks. In the next table is presented the bandwidth utilization for different NR carriers’ bandwidths assuming a subcarrier separation of 30 kHz as defined in the TS 38.104.</w:t>
      </w:r>
    </w:p>
    <w:p w14:paraId="257C20DE" w14:textId="77777777" w:rsidR="00D26572" w:rsidRPr="00251653" w:rsidRDefault="00D26572" w:rsidP="00D26572">
      <w:pPr>
        <w:spacing w:before="120" w:after="120"/>
        <w:jc w:val="center"/>
        <w:rPr>
          <w:rFonts w:ascii="Arial" w:eastAsia="Times New Roman" w:hAnsi="Arial" w:cs="Arial"/>
          <w:b/>
          <w:bCs/>
          <w:sz w:val="20"/>
          <w:szCs w:val="20"/>
        </w:rPr>
      </w:pPr>
      <w:r w:rsidRPr="00251653">
        <w:rPr>
          <w:rFonts w:ascii="Arial" w:eastAsia="Times New Roman" w:hAnsi="Arial" w:cs="Arial"/>
          <w:b/>
          <w:bCs/>
          <w:sz w:val="20"/>
          <w:szCs w:val="20"/>
        </w:rPr>
        <w:t>Table 2: NR utilization of channel bandwidth</w:t>
      </w:r>
    </w:p>
    <w:tbl>
      <w:tblPr>
        <w:tblStyle w:val="TableGrid"/>
        <w:tblW w:w="0" w:type="auto"/>
        <w:tblLook w:val="04A0" w:firstRow="1" w:lastRow="0" w:firstColumn="1" w:lastColumn="0" w:noHBand="0" w:noVBand="1"/>
      </w:tblPr>
      <w:tblGrid>
        <w:gridCol w:w="1828"/>
        <w:gridCol w:w="1967"/>
        <w:gridCol w:w="1872"/>
        <w:gridCol w:w="1658"/>
        <w:gridCol w:w="1836"/>
      </w:tblGrid>
      <w:tr w:rsidR="00D26572" w:rsidRPr="00251653" w14:paraId="4D09C9D0" w14:textId="77777777" w:rsidTr="00F37272">
        <w:tc>
          <w:tcPr>
            <w:tcW w:w="1861" w:type="dxa"/>
            <w:vAlign w:val="center"/>
          </w:tcPr>
          <w:p w14:paraId="2605AF34"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Channel BW</w:t>
            </w:r>
            <w:r w:rsidR="00251653">
              <w:rPr>
                <w:rFonts w:ascii="Times New Roman" w:hAnsi="Times New Roman"/>
                <w:b/>
                <w:bCs/>
                <w:sz w:val="20"/>
                <w:szCs w:val="20"/>
                <w:lang w:val="en-GB"/>
              </w:rPr>
              <w:t xml:space="preserve"> per operator</w:t>
            </w:r>
          </w:p>
        </w:tc>
        <w:tc>
          <w:tcPr>
            <w:tcW w:w="2004" w:type="dxa"/>
            <w:vAlign w:val="center"/>
          </w:tcPr>
          <w:p w14:paraId="431F2D77"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Number of resource blocks (RBs)</w:t>
            </w:r>
          </w:p>
        </w:tc>
        <w:tc>
          <w:tcPr>
            <w:tcW w:w="1890" w:type="dxa"/>
            <w:vAlign w:val="center"/>
          </w:tcPr>
          <w:p w14:paraId="1E200453"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Transmission BW (MHz)</w:t>
            </w:r>
          </w:p>
        </w:tc>
        <w:tc>
          <w:tcPr>
            <w:tcW w:w="1690" w:type="dxa"/>
            <w:vAlign w:val="center"/>
          </w:tcPr>
          <w:p w14:paraId="4D52B2AD"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Guard band BW (MHz)</w:t>
            </w:r>
          </w:p>
        </w:tc>
        <w:tc>
          <w:tcPr>
            <w:tcW w:w="1862" w:type="dxa"/>
            <w:vAlign w:val="center"/>
          </w:tcPr>
          <w:p w14:paraId="789D7E78"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Utilization (%)</w:t>
            </w:r>
          </w:p>
        </w:tc>
      </w:tr>
      <w:tr w:rsidR="00D26572" w:rsidRPr="00251653" w14:paraId="60B18B95" w14:textId="77777777" w:rsidTr="00F37272">
        <w:tc>
          <w:tcPr>
            <w:tcW w:w="1861" w:type="dxa"/>
            <w:vAlign w:val="center"/>
          </w:tcPr>
          <w:p w14:paraId="0B901319" w14:textId="77777777" w:rsidR="00D26572" w:rsidRPr="00251653" w:rsidRDefault="00D26572" w:rsidP="00F37272">
            <w:pPr>
              <w:spacing w:before="120"/>
              <w:jc w:val="center"/>
              <w:rPr>
                <w:sz w:val="20"/>
                <w:szCs w:val="20"/>
                <w:lang w:val="en-GB"/>
              </w:rPr>
            </w:pPr>
            <w:r w:rsidRPr="00251653">
              <w:rPr>
                <w:sz w:val="20"/>
                <w:szCs w:val="20"/>
                <w:lang w:val="en-GB"/>
              </w:rPr>
              <w:t>20 MHz</w:t>
            </w:r>
          </w:p>
        </w:tc>
        <w:tc>
          <w:tcPr>
            <w:tcW w:w="2004" w:type="dxa"/>
            <w:vAlign w:val="center"/>
          </w:tcPr>
          <w:p w14:paraId="31395417" w14:textId="77777777" w:rsidR="00D26572" w:rsidRPr="00251653" w:rsidRDefault="00D26572" w:rsidP="00F37272">
            <w:pPr>
              <w:spacing w:before="120"/>
              <w:jc w:val="center"/>
              <w:rPr>
                <w:sz w:val="20"/>
                <w:szCs w:val="20"/>
                <w:lang w:val="en-GB"/>
              </w:rPr>
            </w:pPr>
            <w:r w:rsidRPr="00251653">
              <w:rPr>
                <w:sz w:val="20"/>
                <w:szCs w:val="20"/>
                <w:lang w:val="en-GB"/>
              </w:rPr>
              <w:t>51</w:t>
            </w:r>
          </w:p>
        </w:tc>
        <w:tc>
          <w:tcPr>
            <w:tcW w:w="1890" w:type="dxa"/>
            <w:vAlign w:val="center"/>
          </w:tcPr>
          <w:p w14:paraId="7F5BBE0F" w14:textId="77777777" w:rsidR="00D26572" w:rsidRPr="00251653" w:rsidRDefault="00D26572" w:rsidP="00F37272">
            <w:pPr>
              <w:spacing w:before="120"/>
              <w:jc w:val="center"/>
              <w:rPr>
                <w:sz w:val="20"/>
                <w:szCs w:val="20"/>
                <w:lang w:val="en-GB"/>
              </w:rPr>
            </w:pPr>
            <w:r w:rsidRPr="00251653">
              <w:rPr>
                <w:sz w:val="20"/>
                <w:szCs w:val="20"/>
                <w:lang w:val="en-GB"/>
              </w:rPr>
              <w:t>18.36</w:t>
            </w:r>
          </w:p>
        </w:tc>
        <w:tc>
          <w:tcPr>
            <w:tcW w:w="1690" w:type="dxa"/>
            <w:vAlign w:val="center"/>
          </w:tcPr>
          <w:p w14:paraId="7D973F21" w14:textId="77777777" w:rsidR="00D26572" w:rsidRPr="00251653" w:rsidRDefault="00D26572" w:rsidP="00F37272">
            <w:pPr>
              <w:spacing w:before="120"/>
              <w:jc w:val="center"/>
              <w:rPr>
                <w:sz w:val="20"/>
                <w:szCs w:val="20"/>
                <w:lang w:val="en-GB"/>
              </w:rPr>
            </w:pPr>
            <w:r w:rsidRPr="00251653">
              <w:rPr>
                <w:sz w:val="20"/>
                <w:szCs w:val="20"/>
                <w:lang w:val="en-GB"/>
              </w:rPr>
              <w:t>1.64</w:t>
            </w:r>
          </w:p>
        </w:tc>
        <w:tc>
          <w:tcPr>
            <w:tcW w:w="1862" w:type="dxa"/>
            <w:vAlign w:val="center"/>
          </w:tcPr>
          <w:p w14:paraId="2E5DD498" w14:textId="77777777" w:rsidR="00D26572" w:rsidRPr="00251653" w:rsidRDefault="00D26572" w:rsidP="00F37272">
            <w:pPr>
              <w:spacing w:before="120"/>
              <w:jc w:val="center"/>
              <w:rPr>
                <w:sz w:val="20"/>
                <w:szCs w:val="20"/>
                <w:lang w:val="en-GB"/>
              </w:rPr>
            </w:pPr>
            <w:r w:rsidRPr="00251653">
              <w:rPr>
                <w:sz w:val="20"/>
                <w:szCs w:val="20"/>
                <w:lang w:val="en-GB"/>
              </w:rPr>
              <w:t>91.8</w:t>
            </w:r>
          </w:p>
        </w:tc>
      </w:tr>
      <w:tr w:rsidR="00D26572" w:rsidRPr="00251653" w14:paraId="30842232" w14:textId="77777777" w:rsidTr="00F37272">
        <w:tc>
          <w:tcPr>
            <w:tcW w:w="1861" w:type="dxa"/>
            <w:vAlign w:val="center"/>
          </w:tcPr>
          <w:p w14:paraId="1644AE18"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40 MHz</w:t>
            </w:r>
          </w:p>
        </w:tc>
        <w:tc>
          <w:tcPr>
            <w:tcW w:w="2004" w:type="dxa"/>
            <w:vAlign w:val="center"/>
          </w:tcPr>
          <w:p w14:paraId="63D795D3"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106</w:t>
            </w:r>
          </w:p>
        </w:tc>
        <w:tc>
          <w:tcPr>
            <w:tcW w:w="1890" w:type="dxa"/>
            <w:vAlign w:val="center"/>
          </w:tcPr>
          <w:p w14:paraId="609BA7F3"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38.16</w:t>
            </w:r>
          </w:p>
        </w:tc>
        <w:tc>
          <w:tcPr>
            <w:tcW w:w="1690" w:type="dxa"/>
            <w:vAlign w:val="center"/>
          </w:tcPr>
          <w:p w14:paraId="4E870F7C"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1.84</w:t>
            </w:r>
          </w:p>
        </w:tc>
        <w:tc>
          <w:tcPr>
            <w:tcW w:w="1862" w:type="dxa"/>
            <w:vAlign w:val="center"/>
          </w:tcPr>
          <w:p w14:paraId="2E69EBB4"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95.4</w:t>
            </w:r>
          </w:p>
        </w:tc>
      </w:tr>
      <w:tr w:rsidR="00D26572" w:rsidRPr="00251653" w14:paraId="6769F29A" w14:textId="77777777" w:rsidTr="00F37272">
        <w:tc>
          <w:tcPr>
            <w:tcW w:w="1861" w:type="dxa"/>
            <w:vAlign w:val="center"/>
          </w:tcPr>
          <w:p w14:paraId="5820AEC8"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50 MHz</w:t>
            </w:r>
          </w:p>
        </w:tc>
        <w:tc>
          <w:tcPr>
            <w:tcW w:w="2004" w:type="dxa"/>
            <w:vAlign w:val="center"/>
          </w:tcPr>
          <w:p w14:paraId="78DE0798"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133</w:t>
            </w:r>
          </w:p>
        </w:tc>
        <w:tc>
          <w:tcPr>
            <w:tcW w:w="1890" w:type="dxa"/>
            <w:vAlign w:val="center"/>
          </w:tcPr>
          <w:p w14:paraId="78D6435B"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47.88</w:t>
            </w:r>
          </w:p>
        </w:tc>
        <w:tc>
          <w:tcPr>
            <w:tcW w:w="1690" w:type="dxa"/>
            <w:vAlign w:val="center"/>
          </w:tcPr>
          <w:p w14:paraId="4EE3050D"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2.12</w:t>
            </w:r>
          </w:p>
        </w:tc>
        <w:tc>
          <w:tcPr>
            <w:tcW w:w="1862" w:type="dxa"/>
            <w:vAlign w:val="center"/>
          </w:tcPr>
          <w:p w14:paraId="76459B76"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95.8</w:t>
            </w:r>
          </w:p>
        </w:tc>
      </w:tr>
      <w:tr w:rsidR="00D26572" w:rsidRPr="00251653" w14:paraId="3C5B262F" w14:textId="77777777" w:rsidTr="00F37272">
        <w:tc>
          <w:tcPr>
            <w:tcW w:w="1861" w:type="dxa"/>
            <w:vAlign w:val="center"/>
          </w:tcPr>
          <w:p w14:paraId="668CFE25"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60 MHz</w:t>
            </w:r>
          </w:p>
        </w:tc>
        <w:tc>
          <w:tcPr>
            <w:tcW w:w="2004" w:type="dxa"/>
            <w:vAlign w:val="center"/>
          </w:tcPr>
          <w:p w14:paraId="49FEC97A"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162</w:t>
            </w:r>
          </w:p>
        </w:tc>
        <w:tc>
          <w:tcPr>
            <w:tcW w:w="1890" w:type="dxa"/>
            <w:vAlign w:val="center"/>
          </w:tcPr>
          <w:p w14:paraId="4E8426B6"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58.32</w:t>
            </w:r>
          </w:p>
        </w:tc>
        <w:tc>
          <w:tcPr>
            <w:tcW w:w="1690" w:type="dxa"/>
            <w:vAlign w:val="center"/>
          </w:tcPr>
          <w:p w14:paraId="3ECDE258"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1.68</w:t>
            </w:r>
          </w:p>
        </w:tc>
        <w:tc>
          <w:tcPr>
            <w:tcW w:w="1862" w:type="dxa"/>
            <w:vAlign w:val="center"/>
          </w:tcPr>
          <w:p w14:paraId="7B7115B8"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97.2</w:t>
            </w:r>
          </w:p>
        </w:tc>
      </w:tr>
      <w:tr w:rsidR="00D26572" w:rsidRPr="00251653" w14:paraId="5254F08C" w14:textId="77777777" w:rsidTr="00F37272">
        <w:tc>
          <w:tcPr>
            <w:tcW w:w="1861" w:type="dxa"/>
            <w:vAlign w:val="center"/>
          </w:tcPr>
          <w:p w14:paraId="0FD4BA1C"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80 MHz</w:t>
            </w:r>
          </w:p>
        </w:tc>
        <w:tc>
          <w:tcPr>
            <w:tcW w:w="2004" w:type="dxa"/>
            <w:vAlign w:val="center"/>
          </w:tcPr>
          <w:p w14:paraId="6EF48043"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217</w:t>
            </w:r>
          </w:p>
        </w:tc>
        <w:tc>
          <w:tcPr>
            <w:tcW w:w="1890" w:type="dxa"/>
            <w:vAlign w:val="center"/>
          </w:tcPr>
          <w:p w14:paraId="34E97E1B"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78.12</w:t>
            </w:r>
          </w:p>
        </w:tc>
        <w:tc>
          <w:tcPr>
            <w:tcW w:w="1690" w:type="dxa"/>
            <w:vAlign w:val="center"/>
          </w:tcPr>
          <w:p w14:paraId="7C979DB5"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1.88</w:t>
            </w:r>
          </w:p>
        </w:tc>
        <w:tc>
          <w:tcPr>
            <w:tcW w:w="1862" w:type="dxa"/>
            <w:vAlign w:val="center"/>
          </w:tcPr>
          <w:p w14:paraId="5F8A2908"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97.7</w:t>
            </w:r>
          </w:p>
        </w:tc>
      </w:tr>
      <w:tr w:rsidR="00D26572" w:rsidRPr="00532CFB" w14:paraId="5578D16D" w14:textId="77777777" w:rsidTr="00F37272">
        <w:tc>
          <w:tcPr>
            <w:tcW w:w="1861" w:type="dxa"/>
            <w:vAlign w:val="center"/>
          </w:tcPr>
          <w:p w14:paraId="1F9D0021"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90 MHz</w:t>
            </w:r>
          </w:p>
        </w:tc>
        <w:tc>
          <w:tcPr>
            <w:tcW w:w="2004" w:type="dxa"/>
            <w:vAlign w:val="center"/>
          </w:tcPr>
          <w:p w14:paraId="651AC096"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245</w:t>
            </w:r>
          </w:p>
        </w:tc>
        <w:tc>
          <w:tcPr>
            <w:tcW w:w="1890" w:type="dxa"/>
            <w:vAlign w:val="center"/>
          </w:tcPr>
          <w:p w14:paraId="4E5B2916"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88.20</w:t>
            </w:r>
          </w:p>
        </w:tc>
        <w:tc>
          <w:tcPr>
            <w:tcW w:w="1690" w:type="dxa"/>
            <w:vAlign w:val="center"/>
          </w:tcPr>
          <w:p w14:paraId="1A440EBB"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1.80</w:t>
            </w:r>
          </w:p>
        </w:tc>
        <w:tc>
          <w:tcPr>
            <w:tcW w:w="1862" w:type="dxa"/>
            <w:vAlign w:val="center"/>
          </w:tcPr>
          <w:p w14:paraId="3FF5D853" w14:textId="77777777" w:rsidR="00D26572" w:rsidRPr="00532CFB" w:rsidRDefault="00D26572" w:rsidP="00F37272">
            <w:pPr>
              <w:spacing w:before="120"/>
              <w:jc w:val="center"/>
              <w:rPr>
                <w:rFonts w:ascii="Times New Roman" w:hAnsi="Times New Roman"/>
                <w:sz w:val="20"/>
                <w:szCs w:val="20"/>
                <w:lang w:val="en-GB"/>
              </w:rPr>
            </w:pPr>
            <w:r w:rsidRPr="00251653">
              <w:rPr>
                <w:sz w:val="20"/>
                <w:szCs w:val="20"/>
                <w:lang w:val="en-GB"/>
              </w:rPr>
              <w:t>98.0</w:t>
            </w:r>
          </w:p>
        </w:tc>
      </w:tr>
    </w:tbl>
    <w:p w14:paraId="1707244F" w14:textId="77777777" w:rsidR="00D26572" w:rsidRPr="008E42A3" w:rsidRDefault="00D26572" w:rsidP="0096367D">
      <w:pPr>
        <w:spacing w:before="120" w:after="120"/>
        <w:jc w:val="both"/>
        <w:rPr>
          <w:lang w:val="en-GB"/>
        </w:rPr>
      </w:pPr>
    </w:p>
    <w:p w14:paraId="4CD9FF55" w14:textId="5C9CD0D8" w:rsidR="0096367D" w:rsidRPr="00C32E71" w:rsidRDefault="0096367D" w:rsidP="006E4C09">
      <w:pPr>
        <w:pStyle w:val="Default"/>
        <w:widowControl/>
        <w:spacing w:beforeLines="50" w:before="120" w:after="120"/>
        <w:jc w:val="both"/>
        <w:rPr>
          <w:shd w:val="pct15" w:color="auto" w:fill="FFFFFF"/>
        </w:rPr>
      </w:pPr>
      <w:r w:rsidRPr="00C32E71">
        <w:t>Products needs to comply with the regulatory requirements concerning coexistence between satellite and terrestrial use. LTE an</w:t>
      </w:r>
      <w:r w:rsidRPr="000835B2">
        <w:t>d NR has been specified with requirements to coexist in same band. The coexistence means including mitigation techniques included in Resolution 212</w:t>
      </w:r>
      <w:r w:rsidR="007457FB" w:rsidRPr="000835B2">
        <w:t xml:space="preserve"> (Rev.</w:t>
      </w:r>
      <w:r w:rsidR="00106546" w:rsidRPr="000835B2">
        <w:t xml:space="preserve"> WRC-</w:t>
      </w:r>
      <w:r w:rsidR="007457FB" w:rsidRPr="000835B2">
        <w:t>19)</w:t>
      </w:r>
      <w:r w:rsidRPr="000835B2">
        <w:t xml:space="preserve"> such as using guard bands and power levels, if necessary, can be provided by both LTE and NR.</w:t>
      </w:r>
    </w:p>
    <w:p w14:paraId="62252F14" w14:textId="320CDBD6" w:rsidR="0096367D" w:rsidRDefault="008153DE" w:rsidP="0096367D">
      <w:pPr>
        <w:pStyle w:val="Default"/>
        <w:widowControl/>
        <w:spacing w:beforeLines="50" w:before="120" w:after="120"/>
        <w:jc w:val="both"/>
      </w:pPr>
      <w:r w:rsidRPr="00D96D74">
        <w:t>Another aspect needs to be noted that 3GPP Rel-17 specifications are support 5G NR based satellite access deployed in FR1 bands serving handheld devices for global service continuity. The frequency range 1980-2010/2170-2200MHz has been specified as n256 for satellite</w:t>
      </w:r>
      <w:r w:rsidR="00084471">
        <w:t>-</w:t>
      </w:r>
      <w:r w:rsidRPr="00D96D74">
        <w:t>based NR Non-terrestrial networks (NTN) deployment.</w:t>
      </w:r>
      <w:r w:rsidR="00C32E71" w:rsidRPr="00D96D74">
        <w:t xml:space="preserve"> </w:t>
      </w:r>
    </w:p>
    <w:p w14:paraId="5DE4F9DE" w14:textId="60E7327C" w:rsidR="0096367D" w:rsidRPr="006E4C09" w:rsidRDefault="0096367D" w:rsidP="007E556E">
      <w:pPr>
        <w:pStyle w:val="ListParagraph"/>
        <w:keepNext/>
        <w:keepLines/>
        <w:numPr>
          <w:ilvl w:val="0"/>
          <w:numId w:val="38"/>
        </w:numPr>
        <w:tabs>
          <w:tab w:val="clear" w:pos="1134"/>
          <w:tab w:val="clear" w:pos="1871"/>
          <w:tab w:val="clear" w:pos="2268"/>
          <w:tab w:val="left" w:pos="1191"/>
          <w:tab w:val="left" w:pos="1588"/>
          <w:tab w:val="left" w:pos="1985"/>
        </w:tabs>
        <w:spacing w:before="360"/>
        <w:ind w:leftChars="0"/>
        <w:contextualSpacing/>
        <w:jc w:val="both"/>
        <w:outlineLvl w:val="0"/>
        <w:rPr>
          <w:rFonts w:eastAsia="MS Mincho"/>
          <w:b/>
          <w:szCs w:val="24"/>
          <w:lang w:val="en-AU" w:eastAsia="ja-JP"/>
        </w:rPr>
      </w:pPr>
      <w:r w:rsidRPr="006E4C09">
        <w:rPr>
          <w:rFonts w:eastAsia="MS Mincho"/>
          <w:b/>
          <w:szCs w:val="24"/>
          <w:lang w:val="en-AU" w:eastAsia="ja-JP"/>
        </w:rPr>
        <w:t>Considerations on the terrestrial and satellite use in the 2 GHz band</w:t>
      </w:r>
    </w:p>
    <w:p w14:paraId="34529F67" w14:textId="77777777" w:rsidR="0096367D" w:rsidRPr="006C1370" w:rsidRDefault="0096367D" w:rsidP="0096367D">
      <w:pPr>
        <w:jc w:val="both"/>
        <w:rPr>
          <w:rFonts w:eastAsia="SimSun"/>
          <w:lang w:eastAsia="zh-CN"/>
        </w:rPr>
      </w:pPr>
    </w:p>
    <w:p w14:paraId="60B9FF84" w14:textId="77777777" w:rsidR="0096367D" w:rsidRDefault="0096367D" w:rsidP="0096367D">
      <w:pPr>
        <w:spacing w:after="160"/>
        <w:jc w:val="both"/>
        <w:rPr>
          <w:rFonts w:eastAsia="MS PMincho"/>
          <w:lang w:eastAsia="ja-JP"/>
        </w:rPr>
      </w:pPr>
      <w:r>
        <w:rPr>
          <w:rFonts w:eastAsia="MS PMincho"/>
          <w:lang w:eastAsia="ja-JP"/>
        </w:rPr>
        <w:t xml:space="preserve">In Recommendation M.1036-6 the range 1920 – 2010 / 2110 – 2200 MHz is described in Section 5 of the Annex and the most relevant notes for consideration are Notes 4 and 5 (See Table 1 in this Report and Attachment 3). Note 4 describes that the </w:t>
      </w:r>
      <w:r w:rsidRPr="00A20C33">
        <w:rPr>
          <w:lang w:val="en-GB"/>
        </w:rPr>
        <w:t xml:space="preserve">bands 1 980-2 010 MHz and 2 170-2 200 MHz in the frequency arrangement B6 are intended to be used in combination with the frequency arrangements B1 </w:t>
      </w:r>
      <w:r>
        <w:rPr>
          <w:lang w:val="en-GB"/>
        </w:rPr>
        <w:t xml:space="preserve">(1920 – 1980 / 2110 – 2170 MHz) </w:t>
      </w:r>
      <w:r w:rsidRPr="00A20C33">
        <w:rPr>
          <w:lang w:val="en-GB"/>
        </w:rPr>
        <w:t>which provides even further optimization of the use of spectrum for paired IMT operation</w:t>
      </w:r>
      <w:r>
        <w:rPr>
          <w:lang w:val="en-GB"/>
        </w:rPr>
        <w:t xml:space="preserve">. Note 5 states that </w:t>
      </w:r>
      <w:r>
        <w:rPr>
          <w:rFonts w:eastAsia="MS PMincho"/>
          <w:lang w:eastAsia="ja-JP"/>
        </w:rPr>
        <w:t>a</w:t>
      </w:r>
      <w:r w:rsidRPr="00A20C33">
        <w:rPr>
          <w:lang w:val="en-GB"/>
        </w:rPr>
        <w:t xml:space="preserve"> unique situation exists for the frequency arrangements B6 in the bands 1 980-2 010</w:t>
      </w:r>
      <w:r>
        <w:rPr>
          <w:lang w:val="en-GB"/>
        </w:rPr>
        <w:t>/</w:t>
      </w:r>
      <w:r w:rsidRPr="00A20C33">
        <w:rPr>
          <w:lang w:val="en-GB"/>
        </w:rPr>
        <w:t>2 170-2 200 MHz, which have been identified for the terrestrial component of IMT and the satellite component of IMT</w:t>
      </w:r>
      <w:r w:rsidRPr="002579BB">
        <w:rPr>
          <w:lang w:val="en-GB"/>
        </w:rPr>
        <w:t>.</w:t>
      </w:r>
      <w:r>
        <w:rPr>
          <w:lang w:val="en-GB"/>
        </w:rPr>
        <w:t xml:space="preserve"> </w:t>
      </w:r>
      <w:r w:rsidRPr="00A20C33">
        <w:rPr>
          <w:lang w:val="en-GB"/>
        </w:rPr>
        <w:t>Co</w:t>
      </w:r>
      <w:r w:rsidRPr="00A20C33">
        <w:rPr>
          <w:lang w:val="en-GB"/>
        </w:rPr>
        <w:noBreakHyphen/>
        <w:t>coverage, co</w:t>
      </w:r>
      <w:r>
        <w:rPr>
          <w:lang w:val="en-GB"/>
        </w:rPr>
        <w:noBreakHyphen/>
      </w:r>
      <w:r w:rsidRPr="00A20C33">
        <w:rPr>
          <w:lang w:val="en-GB"/>
        </w:rPr>
        <w:t xml:space="preserve">frequency deployment of independent satellite and terrestrial IMT components is not feasible unless appropriate mitigation techniques are applied. When these components are deployed in adjacent geographical areas in the same frequency bands, technical or operational measures need to be implemented if harmful interference is reported. </w:t>
      </w:r>
      <w:r>
        <w:rPr>
          <w:lang w:val="en-GB"/>
        </w:rPr>
        <w:t>This is also mentioned in the Resolution 212</w:t>
      </w:r>
      <w:r w:rsidR="007457FB">
        <w:rPr>
          <w:lang w:val="en-GB"/>
        </w:rPr>
        <w:t xml:space="preserve"> </w:t>
      </w:r>
      <w:r w:rsidR="007457FB" w:rsidRPr="007457FB">
        <w:rPr>
          <w:lang w:val="en-GB"/>
        </w:rPr>
        <w:t>(Rev.</w:t>
      </w:r>
      <w:r w:rsidR="00106546">
        <w:rPr>
          <w:lang w:val="en-GB"/>
        </w:rPr>
        <w:t xml:space="preserve"> WRC-</w:t>
      </w:r>
      <w:r w:rsidR="007457FB" w:rsidRPr="007457FB">
        <w:rPr>
          <w:lang w:val="en-GB"/>
        </w:rPr>
        <w:t>19)</w:t>
      </w:r>
      <w:r>
        <w:rPr>
          <w:lang w:val="en-GB"/>
        </w:rPr>
        <w:t>.</w:t>
      </w:r>
    </w:p>
    <w:p w14:paraId="5A8C67A2" w14:textId="77777777" w:rsidR="0096367D" w:rsidRDefault="0096367D" w:rsidP="0096367D">
      <w:pPr>
        <w:spacing w:after="160"/>
        <w:jc w:val="both"/>
        <w:rPr>
          <w:rFonts w:eastAsia="MS PMincho"/>
          <w:lang w:eastAsia="ja-JP"/>
        </w:rPr>
      </w:pPr>
      <w:r>
        <w:rPr>
          <w:rFonts w:eastAsia="MS PMincho"/>
          <w:lang w:eastAsia="ja-JP"/>
        </w:rPr>
        <w:t xml:space="preserve">As described in the Background Section 1, the footnotes related to the </w:t>
      </w:r>
      <w:r>
        <w:rPr>
          <w:rFonts w:eastAsia="MS Mincho"/>
          <w:lang w:val="en-AU" w:eastAsia="ja-JP"/>
        </w:rPr>
        <w:t>1920 – 2010 / 2110 – 2200</w:t>
      </w:r>
      <w:r w:rsidRPr="00EF6E8C">
        <w:rPr>
          <w:rFonts w:eastAsia="MS Mincho"/>
          <w:lang w:val="en-AU" w:eastAsia="ja-JP"/>
        </w:rPr>
        <w:t xml:space="preserve"> MH</w:t>
      </w:r>
      <w:r>
        <w:rPr>
          <w:rFonts w:eastAsia="MS Mincho"/>
          <w:lang w:val="en-AU" w:eastAsia="ja-JP"/>
        </w:rPr>
        <w:t>z</w:t>
      </w:r>
      <w:r>
        <w:rPr>
          <w:rFonts w:eastAsia="MS PMincho"/>
          <w:lang w:eastAsia="ja-JP"/>
        </w:rPr>
        <w:t xml:space="preserve"> range for terrestrial IMT use in </w:t>
      </w:r>
      <w:proofErr w:type="gramStart"/>
      <w:r>
        <w:rPr>
          <w:rFonts w:eastAsia="MS PMincho"/>
          <w:lang w:eastAsia="ja-JP"/>
        </w:rPr>
        <w:t>Region</w:t>
      </w:r>
      <w:proofErr w:type="gramEnd"/>
      <w:r>
        <w:rPr>
          <w:rFonts w:eastAsia="MS PMincho"/>
          <w:lang w:eastAsia="ja-JP"/>
        </w:rPr>
        <w:t xml:space="preserve"> 3 in the ITU Radio Regulations (2020) from WRC-19 are No. 5.388 and 3.389A and they refer to the Resolutions 212, 223, and 716.</w:t>
      </w:r>
    </w:p>
    <w:p w14:paraId="57709548" w14:textId="77777777" w:rsidR="0096367D" w:rsidRPr="00894756" w:rsidRDefault="0096367D" w:rsidP="0096367D">
      <w:pPr>
        <w:spacing w:after="160"/>
        <w:jc w:val="both"/>
      </w:pPr>
      <w:r>
        <w:rPr>
          <w:rFonts w:eastAsia="MS PMincho"/>
          <w:lang w:eastAsia="ja-JP"/>
        </w:rPr>
        <w:t xml:space="preserve">Resolution 212 </w:t>
      </w:r>
      <w:r w:rsidR="00106546" w:rsidRPr="000875B3">
        <w:t>(REV. WRC-19)</w:t>
      </w:r>
      <w:r w:rsidR="00106546">
        <w:t xml:space="preserve"> </w:t>
      </w:r>
      <w:r>
        <w:rPr>
          <w:rFonts w:eastAsia="MS PMincho"/>
          <w:lang w:eastAsia="ja-JP"/>
        </w:rPr>
        <w:t>handle the “i</w:t>
      </w:r>
      <w:r w:rsidRPr="00894756">
        <w:rPr>
          <w:rFonts w:eastAsia="MS PMincho"/>
          <w:lang w:eastAsia="ja-JP"/>
        </w:rPr>
        <w:t>mplementation of I</w:t>
      </w:r>
      <w:r>
        <w:rPr>
          <w:rFonts w:eastAsia="MS PMincho"/>
          <w:lang w:eastAsia="ja-JP"/>
        </w:rPr>
        <w:t>MT</w:t>
      </w:r>
      <w:r w:rsidRPr="00894756">
        <w:rPr>
          <w:rFonts w:eastAsia="MS PMincho"/>
          <w:lang w:eastAsia="ja-JP"/>
        </w:rPr>
        <w:t xml:space="preserve"> in the frequency bands 1 885-2 025 MHz and 2 110-2 200 MHz</w:t>
      </w:r>
      <w:r>
        <w:rPr>
          <w:rFonts w:eastAsia="MS PMincho"/>
          <w:lang w:eastAsia="ja-JP"/>
        </w:rPr>
        <w:t>” and states that “a</w:t>
      </w:r>
      <w:r w:rsidRPr="00725735">
        <w:t>dministrations should take the technical and operational measures, such as those found in the Annex to this Resolution, to facilitate coexistence and compatibility between the terrestrial and satellite components of IMT in the frequency bands 1 980-2 010 MHz and 2 170</w:t>
      </w:r>
      <w:r w:rsidRPr="00725735">
        <w:noBreakHyphen/>
        <w:t>2 200 MHz</w:t>
      </w:r>
      <w:r>
        <w:t>” and t</w:t>
      </w:r>
      <w:r w:rsidRPr="00725735">
        <w:t xml:space="preserve">hat, </w:t>
      </w:r>
      <w:r>
        <w:t>“</w:t>
      </w:r>
      <w:r w:rsidRPr="00725735">
        <w:t>in the event of harmful interference, the concerned administrations should investigate and take technical and operational measures, as appropriate, to reduce interference to an acceptable level</w:t>
      </w:r>
      <w:r>
        <w:t>”.</w:t>
      </w:r>
    </w:p>
    <w:p w14:paraId="151BC66C" w14:textId="77777777" w:rsidR="0096367D" w:rsidRPr="00D96D74" w:rsidRDefault="0096367D" w:rsidP="0096367D">
      <w:pPr>
        <w:spacing w:after="160"/>
        <w:jc w:val="both"/>
      </w:pPr>
      <w:r>
        <w:t xml:space="preserve">The Annex in Resolution 212 </w:t>
      </w:r>
      <w:r w:rsidRPr="000875B3">
        <w:t xml:space="preserve">(REV. WRC-19) provides </w:t>
      </w:r>
      <w:r>
        <w:t xml:space="preserve">the guidance to concerned administrations on the technical, operational and other applicable measures in the deployment of terrestrial and satellite components of IMT for reducing the potential of harmful interference between the terrestrial and satellite components of IMT in the frequency bands 1 980-2 010 MHz and 2 170-2 200 MHz considering four interference scenarios. This Annex then list measures to </w:t>
      </w:r>
      <w:r w:rsidRPr="00D96D74">
        <w:t>be taken for the terrestrial component of IMT as well as the satellite component of IMT.</w:t>
      </w:r>
    </w:p>
    <w:p w14:paraId="6597D9D9" w14:textId="77777777" w:rsidR="0096367D" w:rsidRDefault="0096367D" w:rsidP="0096367D">
      <w:pPr>
        <w:spacing w:after="160"/>
        <w:jc w:val="both"/>
      </w:pPr>
      <w:r w:rsidRPr="00D96D74">
        <w:t>Resolution 223 (REV WRC-19) describes some additional frequency bands identified for IMT and the terrestrial IMT technology members.</w:t>
      </w:r>
    </w:p>
    <w:p w14:paraId="0D8D5804" w14:textId="77777777" w:rsidR="0096367D" w:rsidRPr="00D96D74" w:rsidRDefault="0096367D" w:rsidP="0096367D">
      <w:pPr>
        <w:spacing w:after="160"/>
        <w:jc w:val="both"/>
      </w:pPr>
      <w:r w:rsidRPr="00D96D74">
        <w:t xml:space="preserve">Resolution 716 (REV WRC-12) describes the “Use of the frequency bands 1 980-2 010 MHz and 2 170-2 200 MHz in all three Regions and 2 010-2 025 MHz and 2 160-2 170 MHz in Region </w:t>
      </w:r>
      <w:r w:rsidRPr="00D96D74">
        <w:lastRenderedPageBreak/>
        <w:t>2 by the fixed and mobile-satellite services and associated transition arrangements” and addresses the terrestrial mobile and fixed services when introducing mobile satellite systems using IMT in this frequency range.</w:t>
      </w:r>
    </w:p>
    <w:p w14:paraId="02764070" w14:textId="78319925" w:rsidR="008153DE" w:rsidRPr="00C900AE" w:rsidRDefault="008153DE" w:rsidP="008153DE">
      <w:pPr>
        <w:spacing w:after="160"/>
        <w:jc w:val="both"/>
        <w:rPr>
          <w:lang w:eastAsia="zh-CN"/>
        </w:rPr>
      </w:pPr>
      <w:r w:rsidRPr="00D96D74">
        <w:rPr>
          <w:lang w:eastAsia="zh-CN"/>
        </w:rPr>
        <w:t xml:space="preserve">Recommendation ITU-R M.1167 also identified that, rather than being shared with terrestrial component of IMT, the bands </w:t>
      </w:r>
      <w:r w:rsidRPr="00D96D74">
        <w:t>1 980</w:t>
      </w:r>
      <w:r w:rsidRPr="00D96D74">
        <w:noBreakHyphen/>
        <w:t>2 010 MHz and 2 170-2 200 MHz</w:t>
      </w:r>
      <w:r w:rsidRPr="00D96D74">
        <w:rPr>
          <w:lang w:eastAsia="zh-CN"/>
        </w:rPr>
        <w:t xml:space="preserve"> may be</w:t>
      </w:r>
      <w:r w:rsidRPr="00D96D74">
        <w:t xml:space="preserve"> dedica</w:t>
      </w:r>
      <w:r w:rsidRPr="00D96D74">
        <w:rPr>
          <w:lang w:eastAsia="zh-CN"/>
        </w:rPr>
        <w:t>ted to use by the satellite component of IMT.</w:t>
      </w:r>
    </w:p>
    <w:p w14:paraId="4B29B4EF" w14:textId="6CEB7575" w:rsidR="00547BFA" w:rsidRPr="000835B2" w:rsidRDefault="001B647F" w:rsidP="00547BFA">
      <w:pPr>
        <w:spacing w:after="160"/>
        <w:jc w:val="both"/>
        <w:rPr>
          <w:lang w:eastAsia="zh-CN"/>
        </w:rPr>
      </w:pPr>
      <w:r w:rsidRPr="000835B2">
        <w:rPr>
          <w:lang w:eastAsia="zh-CN"/>
        </w:rPr>
        <w:t xml:space="preserve">The </w:t>
      </w:r>
      <w:r w:rsidR="00547BFA" w:rsidRPr="000835B2">
        <w:rPr>
          <w:rFonts w:hint="eastAsia"/>
          <w:lang w:eastAsia="zh-CN"/>
        </w:rPr>
        <w:t xml:space="preserve">results of </w:t>
      </w:r>
      <w:r w:rsidR="00547BFA" w:rsidRPr="000835B2">
        <w:rPr>
          <w:lang w:eastAsia="zh-CN"/>
        </w:rPr>
        <w:t xml:space="preserve">sharing studies and </w:t>
      </w:r>
      <w:r w:rsidR="00547BFA" w:rsidRPr="000835B2">
        <w:rPr>
          <w:rFonts w:hint="eastAsia"/>
          <w:lang w:eastAsia="zh-CN"/>
        </w:rPr>
        <w:t>co-existence</w:t>
      </w:r>
      <w:r w:rsidR="00547BFA" w:rsidRPr="000835B2">
        <w:rPr>
          <w:lang w:eastAsia="zh-CN"/>
        </w:rPr>
        <w:t xml:space="preserve"> measures </w:t>
      </w:r>
      <w:r w:rsidRPr="000835B2">
        <w:rPr>
          <w:lang w:eastAsia="zh-CN"/>
        </w:rPr>
        <w:t xml:space="preserve">could need to </w:t>
      </w:r>
      <w:r w:rsidR="00547BFA" w:rsidRPr="000835B2">
        <w:rPr>
          <w:lang w:eastAsia="zh-CN"/>
        </w:rPr>
        <w:t>be considered to limit the impact with each other.</w:t>
      </w:r>
    </w:p>
    <w:p w14:paraId="59ABD99B" w14:textId="36970905" w:rsidR="0096367D" w:rsidRPr="00294419" w:rsidRDefault="00313570" w:rsidP="0096367D">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맑은 고딕"/>
          <w:b/>
          <w:szCs w:val="20"/>
          <w:lang w:eastAsia="ko-KR"/>
        </w:rPr>
      </w:pPr>
      <w:r>
        <w:rPr>
          <w:rFonts w:eastAsia="맑은 고딕"/>
          <w:b/>
          <w:szCs w:val="20"/>
          <w:lang w:eastAsia="ko-KR"/>
        </w:rPr>
        <w:t>7</w:t>
      </w:r>
      <w:r w:rsidR="0096367D" w:rsidRPr="00294419">
        <w:rPr>
          <w:rFonts w:eastAsia="맑은 고딕"/>
          <w:b/>
          <w:szCs w:val="20"/>
          <w:lang w:eastAsia="ko-KR"/>
        </w:rPr>
        <w:tab/>
      </w:r>
      <w:r w:rsidR="00802EA1" w:rsidRPr="00294419">
        <w:rPr>
          <w:b/>
        </w:rPr>
        <w:t xml:space="preserve">Possible harmonized frequency arrangements </w:t>
      </w:r>
      <w:r w:rsidR="0096367D" w:rsidRPr="00294419">
        <w:rPr>
          <w:b/>
        </w:rPr>
        <w:t>for</w:t>
      </w:r>
      <w:r w:rsidR="007C13ED" w:rsidRPr="00294419">
        <w:rPr>
          <w:b/>
        </w:rPr>
        <w:t xml:space="preserve"> terrestrial</w:t>
      </w:r>
      <w:r w:rsidR="0096367D" w:rsidRPr="00294419">
        <w:rPr>
          <w:b/>
        </w:rPr>
        <w:t xml:space="preserve"> IMT</w:t>
      </w:r>
      <w:r w:rsidR="0096367D" w:rsidRPr="00294419">
        <w:rPr>
          <w:rFonts w:eastAsia="맑은 고딕"/>
          <w:b/>
          <w:szCs w:val="20"/>
          <w:lang w:eastAsia="ko-KR"/>
        </w:rPr>
        <w:t xml:space="preserve"> in </w:t>
      </w:r>
      <w:r w:rsidR="007C13ED" w:rsidRPr="00294419">
        <w:rPr>
          <w:rFonts w:eastAsia="맑은 고딕"/>
          <w:b/>
          <w:szCs w:val="20"/>
          <w:lang w:eastAsia="ko-KR"/>
        </w:rPr>
        <w:t xml:space="preserve">the bands </w:t>
      </w:r>
      <w:r w:rsidR="0096367D" w:rsidRPr="00294419">
        <w:rPr>
          <w:rFonts w:eastAsia="맑은 고딕"/>
          <w:b/>
          <w:szCs w:val="20"/>
          <w:lang w:eastAsia="ko-KR"/>
        </w:rPr>
        <w:t>1920 – 2</w:t>
      </w:r>
      <w:r w:rsidR="00DC7F23" w:rsidRPr="00294419">
        <w:rPr>
          <w:rFonts w:eastAsia="맑은 고딕"/>
          <w:b/>
          <w:szCs w:val="20"/>
          <w:lang w:eastAsia="ko-KR"/>
        </w:rPr>
        <w:t>0</w:t>
      </w:r>
      <w:r w:rsidR="0096367D" w:rsidRPr="00294419">
        <w:rPr>
          <w:rFonts w:eastAsia="맑은 고딕"/>
          <w:b/>
          <w:szCs w:val="20"/>
          <w:lang w:eastAsia="ko-KR"/>
        </w:rPr>
        <w:t>10 / 2110 – 2200 MHz</w:t>
      </w:r>
      <w:r w:rsidR="007C13ED" w:rsidRPr="00294419">
        <w:rPr>
          <w:rFonts w:eastAsia="맑은 고딕"/>
          <w:b/>
          <w:szCs w:val="20"/>
          <w:lang w:eastAsia="ko-KR"/>
        </w:rPr>
        <w:t xml:space="preserve"> </w:t>
      </w:r>
      <w:r w:rsidR="008153DE" w:rsidRPr="00294419">
        <w:rPr>
          <w:rFonts w:eastAsia="맑은 고딕"/>
          <w:b/>
          <w:szCs w:val="20"/>
          <w:lang w:eastAsia="ko-KR"/>
        </w:rPr>
        <w:t>in Asia Pacific Region</w:t>
      </w:r>
    </w:p>
    <w:p w14:paraId="30C7EEEB" w14:textId="736C7D7D" w:rsidR="008153DE" w:rsidRPr="00294419" w:rsidRDefault="00F42D3D" w:rsidP="0096367D">
      <w:pPr>
        <w:spacing w:before="240"/>
        <w:jc w:val="both"/>
      </w:pPr>
      <w:r w:rsidRPr="00294419">
        <w:t>T</w:t>
      </w:r>
      <w:r w:rsidR="008153DE" w:rsidRPr="00294419">
        <w:t xml:space="preserve">he frequency arrangements in the frequency band 1920 – 2010 / 2110 – 2200 MHz are based on the Recommendation ITU-R M.1036-6. </w:t>
      </w:r>
      <w:r w:rsidR="00802EA1" w:rsidRPr="00294419">
        <w:rPr>
          <w:rFonts w:eastAsia="SimSun"/>
          <w:lang w:eastAsia="zh-CN"/>
        </w:rPr>
        <w:t>Possible</w:t>
      </w:r>
      <w:r w:rsidR="00802EA1" w:rsidRPr="00294419">
        <w:rPr>
          <w:rFonts w:eastAsia="SimSun" w:hint="eastAsia"/>
          <w:lang w:eastAsia="zh-CN"/>
        </w:rPr>
        <w:t xml:space="preserve"> </w:t>
      </w:r>
      <w:r w:rsidR="00802EA1" w:rsidRPr="00294419">
        <w:rPr>
          <w:rFonts w:eastAsia="SimSun"/>
          <w:lang w:eastAsia="zh-CN"/>
        </w:rPr>
        <w:t>harmonized frequency arrangements</w:t>
      </w:r>
      <w:r w:rsidRPr="00294419">
        <w:t xml:space="preserve"> </w:t>
      </w:r>
      <w:r w:rsidR="008153DE" w:rsidRPr="00294419">
        <w:t>for implementation of</w:t>
      </w:r>
      <w:r w:rsidR="00DC7F23" w:rsidRPr="00294419">
        <w:t xml:space="preserve"> terrestrial</w:t>
      </w:r>
      <w:r w:rsidR="008153DE" w:rsidRPr="00294419">
        <w:t xml:space="preserve"> IMT in the band 1 920 – 2 010 MHZ and 2 110 - 2 200 MHz  are summarized in the following:</w:t>
      </w:r>
    </w:p>
    <w:p w14:paraId="01257E86" w14:textId="29752866" w:rsidR="008153DE" w:rsidRPr="00294419" w:rsidRDefault="008153DE" w:rsidP="0096367D">
      <w:pPr>
        <w:spacing w:before="240"/>
        <w:jc w:val="both"/>
        <w:rPr>
          <w:b/>
        </w:rPr>
      </w:pPr>
      <w:r w:rsidRPr="00294419">
        <w:rPr>
          <w:b/>
        </w:rPr>
        <w:t xml:space="preserve">Option </w:t>
      </w:r>
      <w:r w:rsidR="00A77C60" w:rsidRPr="00294419">
        <w:rPr>
          <w:b/>
        </w:rPr>
        <w:t>1</w:t>
      </w:r>
      <w:r w:rsidR="000835B2" w:rsidRPr="00294419">
        <w:rPr>
          <w:b/>
        </w:rPr>
        <w:t>:</w:t>
      </w:r>
    </w:p>
    <w:p w14:paraId="1673834B" w14:textId="49C2AE9C" w:rsidR="0096367D" w:rsidRPr="00294419" w:rsidRDefault="0096367D" w:rsidP="0096367D">
      <w:pPr>
        <w:spacing w:before="240"/>
        <w:jc w:val="both"/>
      </w:pPr>
      <w:r w:rsidRPr="00294419">
        <w:t xml:space="preserve">A </w:t>
      </w:r>
      <w:r w:rsidRPr="00294419">
        <w:rPr>
          <w:rFonts w:hint="eastAsia"/>
        </w:rPr>
        <w:t>harmonized</w:t>
      </w:r>
      <w:r w:rsidRPr="00294419">
        <w:t xml:space="preserve"> </w:t>
      </w:r>
      <w:r w:rsidRPr="00294419">
        <w:rPr>
          <w:rFonts w:hint="eastAsia"/>
        </w:rPr>
        <w:t>band plan</w:t>
      </w:r>
      <w:r w:rsidRPr="00294419">
        <w:t xml:space="preserve"> for implementation of </w:t>
      </w:r>
      <w:r w:rsidR="00A5382A" w:rsidRPr="00294419">
        <w:t xml:space="preserve">terrestrial </w:t>
      </w:r>
      <w:r w:rsidRPr="00294419">
        <w:t xml:space="preserve">IMT </w:t>
      </w:r>
      <w:r w:rsidR="00A5382A" w:rsidRPr="00294419">
        <w:t xml:space="preserve">systems </w:t>
      </w:r>
      <w:r w:rsidRPr="00294419">
        <w:t xml:space="preserve">in the frequency band 1920 – 2010 / 2110 – 2200 MHz of 2x90 MHz </w:t>
      </w:r>
      <w:r w:rsidRPr="00294419">
        <w:rPr>
          <w:rFonts w:hint="eastAsia"/>
        </w:rPr>
        <w:t>is</w:t>
      </w:r>
      <w:r w:rsidRPr="00294419">
        <w:t xml:space="preserve"> </w:t>
      </w:r>
      <w:r w:rsidRPr="00294419">
        <w:rPr>
          <w:rFonts w:hint="eastAsia"/>
        </w:rPr>
        <w:t>provided</w:t>
      </w:r>
      <w:r w:rsidRPr="00294419">
        <w:t xml:space="preserve"> in Figure 2</w:t>
      </w:r>
      <w:r w:rsidR="00A5382A" w:rsidRPr="00294419">
        <w:t>, which create the largest contiguous band for IMT in the sub 3 GHz frequency range, therefor could support the development of telecommunication infrastructure in many countries and crucial in developing countries</w:t>
      </w:r>
      <w:r w:rsidRPr="00294419">
        <w:t xml:space="preserve">. This </w:t>
      </w:r>
      <w:r w:rsidR="00A5382A" w:rsidRPr="00294419">
        <w:t xml:space="preserve">band plan </w:t>
      </w:r>
      <w:r w:rsidRPr="00294419">
        <w:t xml:space="preserve">is aligned with a combination of frequency arrangements B1 and B6 in the ITU-R Recommendation M.1036-6. 3GPP has specified this range as band 65/n65 as described in Section 5. </w:t>
      </w:r>
      <w:r w:rsidR="00A5382A" w:rsidRPr="00294419">
        <w:t xml:space="preserve">Countries consider the use </w:t>
      </w:r>
      <w:r w:rsidRPr="00294419">
        <w:t xml:space="preserve">of this band plan </w:t>
      </w:r>
      <w:r w:rsidR="00A5382A" w:rsidRPr="00294419">
        <w:t xml:space="preserve">could </w:t>
      </w:r>
      <w:proofErr w:type="gramStart"/>
      <w:r w:rsidRPr="00294419">
        <w:t>taking into account</w:t>
      </w:r>
      <w:proofErr w:type="gramEnd"/>
      <w:r w:rsidRPr="00294419">
        <w:t xml:space="preserve"> coexistence measures, as appropriate, between IMT systems operating in this band and the existing systems operating in this and adjacent bands as outlined in the ITU Resolutions 212 (revised WRC-19) and 223 (revised WRC-19).</w:t>
      </w:r>
    </w:p>
    <w:p w14:paraId="688098F4" w14:textId="77777777" w:rsidR="0096367D" w:rsidRPr="00294419" w:rsidRDefault="0096367D" w:rsidP="0096367D">
      <w:pPr>
        <w:spacing w:before="240"/>
        <w:rPr>
          <w:rFonts w:eastAsia="SimSun"/>
          <w:lang w:eastAsia="zh-CN"/>
        </w:rPr>
      </w:pPr>
      <w:r w:rsidRPr="00294419">
        <w:rPr>
          <w:rFonts w:eastAsia="SimSun"/>
          <w:noProof/>
          <w:lang w:eastAsia="zh-CN"/>
        </w:rPr>
        <w:drawing>
          <wp:inline distT="0" distB="0" distL="0" distR="0" wp14:anchorId="306DE6F2" wp14:editId="0341B101">
            <wp:extent cx="5892800" cy="800087"/>
            <wp:effectExtent l="0" t="0" r="0" b="635"/>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7086" cy="819677"/>
                    </a:xfrm>
                    <a:prstGeom prst="rect">
                      <a:avLst/>
                    </a:prstGeom>
                    <a:noFill/>
                  </pic:spPr>
                </pic:pic>
              </a:graphicData>
            </a:graphic>
          </wp:inline>
        </w:drawing>
      </w:r>
    </w:p>
    <w:p w14:paraId="2878C3A3" w14:textId="77777777" w:rsidR="0096367D" w:rsidRPr="00294419" w:rsidRDefault="0096367D" w:rsidP="0096367D">
      <w:pPr>
        <w:jc w:val="center"/>
        <w:rPr>
          <w:rFonts w:eastAsia="SimSun"/>
        </w:rPr>
      </w:pPr>
    </w:p>
    <w:p w14:paraId="3BF61118" w14:textId="5B76FF28" w:rsidR="0096367D" w:rsidRPr="00084471" w:rsidRDefault="0096367D" w:rsidP="00084471">
      <w:pPr>
        <w:pStyle w:val="TF"/>
        <w:rPr>
          <w:rFonts w:eastAsia="Times New Roman"/>
        </w:rPr>
      </w:pPr>
      <w:r w:rsidRPr="00084471">
        <w:rPr>
          <w:rFonts w:eastAsia="Times New Roman"/>
        </w:rPr>
        <w:t xml:space="preserve">Figure 5: </w:t>
      </w:r>
      <w:r w:rsidR="00802EA1" w:rsidRPr="00084471">
        <w:rPr>
          <w:rFonts w:eastAsia="Times New Roman"/>
        </w:rPr>
        <w:t>A possible</w:t>
      </w:r>
      <w:r w:rsidR="00802EA1" w:rsidRPr="00084471">
        <w:rPr>
          <w:rFonts w:eastAsia="Times New Roman" w:hint="eastAsia"/>
        </w:rPr>
        <w:t xml:space="preserve"> </w:t>
      </w:r>
      <w:r w:rsidR="00802EA1" w:rsidRPr="00084471">
        <w:rPr>
          <w:rFonts w:eastAsia="Times New Roman"/>
        </w:rPr>
        <w:t>harmonized frequency arrangement</w:t>
      </w:r>
      <w:r w:rsidRPr="00084471">
        <w:rPr>
          <w:rFonts w:eastAsia="Times New Roman" w:hint="eastAsia"/>
        </w:rPr>
        <w:t xml:space="preserve"> for</w:t>
      </w:r>
      <w:r w:rsidRPr="00084471">
        <w:rPr>
          <w:rFonts w:eastAsia="Times New Roman"/>
        </w:rPr>
        <w:t xml:space="preserve"> the 1920 – 2010 / 2110 – 2200 MHz band</w:t>
      </w:r>
      <w:r w:rsidR="006E4C09" w:rsidRPr="00084471">
        <w:rPr>
          <w:rFonts w:eastAsia="Times New Roman"/>
        </w:rPr>
        <w:t xml:space="preserve"> in Asia Pacific Region</w:t>
      </w:r>
    </w:p>
    <w:p w14:paraId="3A91B8CD" w14:textId="11A6F7B2" w:rsidR="00A77C60" w:rsidRPr="00294419" w:rsidRDefault="00A77C60" w:rsidP="00A77C60">
      <w:pPr>
        <w:rPr>
          <w:rFonts w:eastAsia="SimSun"/>
        </w:rPr>
      </w:pPr>
      <w:r w:rsidRPr="00294419">
        <w:rPr>
          <w:rFonts w:eastAsia="SimSun"/>
          <w:lang w:eastAsia="zh-CN"/>
        </w:rPr>
        <w:t>Use of this band plan</w:t>
      </w:r>
      <w:r w:rsidRPr="00294419">
        <w:t xml:space="preserve"> should </w:t>
      </w:r>
      <w:proofErr w:type="gramStart"/>
      <w:r w:rsidR="00801CB1" w:rsidRPr="00294419">
        <w:t xml:space="preserve">take </w:t>
      </w:r>
      <w:r w:rsidRPr="00294419">
        <w:t>into account</w:t>
      </w:r>
      <w:proofErr w:type="gramEnd"/>
      <w:r w:rsidRPr="00294419">
        <w:t xml:space="preserve"> coexistence measures, as appropriate, between IMT systems operating in this band and the existing systems operating in this and adjacent bands as outlined in the ITU Resolutions 212 (revised WRC-19)</w:t>
      </w:r>
      <w:r w:rsidR="00801CB1" w:rsidRPr="00294419">
        <w:t xml:space="preserve">, </w:t>
      </w:r>
      <w:r w:rsidRPr="00294419">
        <w:t>223 (revised WRC-19), and Recommendation ITU M.1036-6</w:t>
      </w:r>
      <w:r w:rsidR="00417003" w:rsidRPr="00294419">
        <w:t xml:space="preserve"> and the results of AWG sharing studies in Report XYZ</w:t>
      </w:r>
      <w:r w:rsidRPr="00294419">
        <w:rPr>
          <w:rFonts w:eastAsia="SimSun"/>
          <w:bCs/>
          <w:shd w:val="pct15" w:color="auto" w:fill="FFFFFF"/>
          <w:lang w:eastAsia="zh-CN"/>
        </w:rPr>
        <w:t>.</w:t>
      </w:r>
      <w:r w:rsidR="00417003" w:rsidRPr="00294419">
        <w:rPr>
          <w:rFonts w:eastAsia="SimSun"/>
          <w:bCs/>
          <w:shd w:val="pct15" w:color="auto" w:fill="FFFFFF"/>
          <w:lang w:eastAsia="zh-CN"/>
        </w:rPr>
        <w:t xml:space="preserve"> </w:t>
      </w:r>
    </w:p>
    <w:p w14:paraId="036B54BD" w14:textId="77777777" w:rsidR="00A77C60" w:rsidRPr="00294419" w:rsidRDefault="00A77C60" w:rsidP="00A77C60">
      <w:pPr>
        <w:jc w:val="center"/>
        <w:rPr>
          <w:rFonts w:eastAsia="SimSun"/>
        </w:rPr>
      </w:pPr>
    </w:p>
    <w:p w14:paraId="6F114D0C" w14:textId="4157EF05" w:rsidR="008153DE" w:rsidRPr="006E4C09" w:rsidRDefault="008153DE" w:rsidP="006E4C09">
      <w:pPr>
        <w:spacing w:before="240"/>
        <w:jc w:val="both"/>
        <w:rPr>
          <w:b/>
        </w:rPr>
      </w:pPr>
      <w:r w:rsidRPr="006E4C09">
        <w:rPr>
          <w:rFonts w:hint="eastAsia"/>
          <w:b/>
        </w:rPr>
        <w:t>O</w:t>
      </w:r>
      <w:r w:rsidRPr="006E4C09">
        <w:rPr>
          <w:b/>
        </w:rPr>
        <w:t xml:space="preserve">ption </w:t>
      </w:r>
      <w:r w:rsidR="00294419" w:rsidRPr="006E4C09">
        <w:rPr>
          <w:b/>
        </w:rPr>
        <w:t>2</w:t>
      </w:r>
      <w:r w:rsidRPr="006E4C09">
        <w:rPr>
          <w:b/>
        </w:rPr>
        <w:t>:</w:t>
      </w:r>
    </w:p>
    <w:p w14:paraId="0E6160B0" w14:textId="21743007" w:rsidR="008153DE" w:rsidRPr="00294419" w:rsidRDefault="008153DE" w:rsidP="006E4C09">
      <w:pPr>
        <w:spacing w:beforeLines="100" w:before="240"/>
        <w:jc w:val="both"/>
        <w:rPr>
          <w:rFonts w:eastAsia="SimSun"/>
          <w:lang w:eastAsia="zh-CN"/>
        </w:rPr>
      </w:pPr>
      <w:r w:rsidRPr="00294419">
        <w:rPr>
          <w:rFonts w:eastAsia="SimSun"/>
          <w:lang w:eastAsia="zh-CN"/>
        </w:rPr>
        <w:t>Based on the APT Report-46 Rev.2 "</w:t>
      </w:r>
      <w:r w:rsidRPr="00294419">
        <w:rPr>
          <w:rFonts w:eastAsia="SimSun"/>
          <w:i/>
          <w:iCs/>
          <w:lang w:eastAsia="zh-CN"/>
        </w:rPr>
        <w:t xml:space="preserve">APT Frequency Usage of the Bands </w:t>
      </w:r>
      <w:bookmarkStart w:id="6" w:name="OLE_LINK12"/>
      <w:bookmarkStart w:id="7" w:name="OLE_LINK11"/>
      <w:r w:rsidRPr="00294419">
        <w:rPr>
          <w:rFonts w:eastAsia="SimSun"/>
          <w:i/>
          <w:iCs/>
          <w:lang w:eastAsia="zh-CN"/>
        </w:rPr>
        <w:t>1 980 – 2 010 MHZ and 2 170 - 2 200 MHz</w:t>
      </w:r>
      <w:bookmarkEnd w:id="6"/>
      <w:bookmarkEnd w:id="7"/>
      <w:r w:rsidRPr="00294419">
        <w:rPr>
          <w:rFonts w:eastAsia="SimSun"/>
          <w:i/>
          <w:iCs/>
          <w:lang w:eastAsia="zh-CN"/>
        </w:rPr>
        <w:t xml:space="preserve"> in Asia Pacific Region</w:t>
      </w:r>
      <w:r w:rsidRPr="00294419">
        <w:rPr>
          <w:rFonts w:eastAsia="SimSun"/>
          <w:lang w:eastAsia="zh-CN"/>
        </w:rPr>
        <w:t xml:space="preserve">", several countries in the Asia-Pacific region have deployed or are planning to deploy satellite IMT systems in these bands. It is clear that there is </w:t>
      </w:r>
      <w:r w:rsidRPr="00294419">
        <w:rPr>
          <w:rFonts w:eastAsia="SimSun"/>
          <w:lang w:eastAsia="zh-CN"/>
        </w:rPr>
        <w:lastRenderedPageBreak/>
        <w:t>another frequency arrangement in Asia-Pacific region which is the implementation of terrestrial component IMT systems in the frequency band 1920 – 1980 / 2110 – 2170 MHz of 2x60 MHz and the implementation of satellite component of IMT systems in the frequency band 1980 – 2010 / 2170 – 2200 MHz of 2x30 MHz. In the frequency band 1 920-1980 MHz and 2110 – 2170 MHz, the B1 arrangement is implemented.</w:t>
      </w:r>
    </w:p>
    <w:p w14:paraId="48C6F523" w14:textId="77777777" w:rsidR="008153DE" w:rsidRPr="00294419" w:rsidRDefault="008153DE" w:rsidP="008153DE">
      <w:pPr>
        <w:snapToGrid w:val="0"/>
        <w:spacing w:before="120" w:after="120"/>
        <w:jc w:val="center"/>
      </w:pPr>
    </w:p>
    <w:p w14:paraId="13B71835" w14:textId="77777777" w:rsidR="008153DE" w:rsidRPr="00294419" w:rsidRDefault="008153DE" w:rsidP="008153DE">
      <w:pPr>
        <w:snapToGrid w:val="0"/>
        <w:spacing w:before="120" w:after="120"/>
        <w:jc w:val="center"/>
        <w:rPr>
          <w:i/>
          <w:noProof/>
        </w:rPr>
      </w:pPr>
      <w:r w:rsidRPr="00294419">
        <w:object w:dxaOrig="7500" w:dyaOrig="960" w14:anchorId="79192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pt;height:48pt" o:ole="">
            <v:imagedata r:id="rId17" o:title=""/>
          </v:shape>
          <o:OLEObject Type="Embed" ProgID="Visio.Drawing.15" ShapeID="_x0000_i1025" DrawAspect="Content" ObjectID="_1731305067" r:id="rId18"/>
        </w:object>
      </w:r>
    </w:p>
    <w:p w14:paraId="72287095" w14:textId="50BB9222" w:rsidR="00F37272" w:rsidRPr="00084471" w:rsidRDefault="008153DE" w:rsidP="00084471">
      <w:pPr>
        <w:pStyle w:val="TF"/>
        <w:rPr>
          <w:rFonts w:eastAsia="Times New Roman"/>
        </w:rPr>
      </w:pPr>
      <w:r w:rsidRPr="00084471">
        <w:rPr>
          <w:rFonts w:eastAsia="Times New Roman"/>
        </w:rPr>
        <w:t xml:space="preserve">Figure 6: </w:t>
      </w:r>
      <w:r w:rsidR="00294419" w:rsidRPr="00084471">
        <w:rPr>
          <w:rFonts w:eastAsia="Times New Roman"/>
        </w:rPr>
        <w:t>A possible</w:t>
      </w:r>
      <w:r w:rsidR="00802EA1" w:rsidRPr="00084471">
        <w:rPr>
          <w:rFonts w:eastAsia="Times New Roman" w:hint="eastAsia"/>
        </w:rPr>
        <w:t xml:space="preserve"> </w:t>
      </w:r>
      <w:r w:rsidR="00802EA1" w:rsidRPr="00084471">
        <w:rPr>
          <w:rFonts w:eastAsia="Times New Roman"/>
        </w:rPr>
        <w:t xml:space="preserve">harmonized frequency arrangement </w:t>
      </w:r>
      <w:r w:rsidR="006E4C09" w:rsidRPr="00084471">
        <w:rPr>
          <w:rFonts w:eastAsia="Times New Roman" w:hint="eastAsia"/>
        </w:rPr>
        <w:t>for</w:t>
      </w:r>
      <w:r w:rsidR="006E4C09" w:rsidRPr="00084471">
        <w:rPr>
          <w:rFonts w:eastAsia="Times New Roman"/>
        </w:rPr>
        <w:t xml:space="preserve"> the 1920 – 2010 / 2110 – 2200 MHz band </w:t>
      </w:r>
      <w:r w:rsidRPr="00084471">
        <w:rPr>
          <w:rFonts w:eastAsia="Times New Roman"/>
        </w:rPr>
        <w:t>in Asia Pacific Region</w:t>
      </w:r>
    </w:p>
    <w:p w14:paraId="14740156" w14:textId="3320B78C" w:rsidR="0096367D" w:rsidRDefault="0096367D" w:rsidP="0096367D">
      <w:pPr>
        <w:jc w:val="center"/>
        <w:rPr>
          <w:rFonts w:eastAsia="SimSun"/>
        </w:rPr>
      </w:pPr>
      <w:r>
        <w:rPr>
          <w:rFonts w:eastAsia="SimSun"/>
        </w:rPr>
        <w:t>________________</w:t>
      </w:r>
    </w:p>
    <w:p w14:paraId="092E552C" w14:textId="77777777" w:rsidR="009741E6" w:rsidRDefault="009741E6" w:rsidP="0096367D">
      <w:pPr>
        <w:jc w:val="center"/>
        <w:rPr>
          <w:rFonts w:eastAsia="SimSun"/>
        </w:rPr>
      </w:pPr>
    </w:p>
    <w:p w14:paraId="416407CD" w14:textId="77777777" w:rsidR="00D26572" w:rsidRDefault="00D26572" w:rsidP="0096367D">
      <w:pPr>
        <w:jc w:val="center"/>
        <w:rPr>
          <w:rFonts w:eastAsia="SimSun"/>
        </w:rPr>
      </w:pPr>
    </w:p>
    <w:p w14:paraId="358C08DB" w14:textId="77777777" w:rsidR="00D26572" w:rsidRDefault="00D26572" w:rsidP="0096367D">
      <w:pPr>
        <w:jc w:val="center"/>
        <w:rPr>
          <w:rFonts w:eastAsia="SimSun"/>
        </w:rPr>
      </w:pPr>
    </w:p>
    <w:p w14:paraId="583C9B0A" w14:textId="77777777" w:rsidR="0096367D" w:rsidRDefault="0096367D" w:rsidP="0096367D">
      <w:pPr>
        <w:jc w:val="center"/>
        <w:rPr>
          <w:rFonts w:eastAsia="SimSun"/>
        </w:rPr>
      </w:pPr>
    </w:p>
    <w:p w14:paraId="2814B489" w14:textId="77777777" w:rsidR="0096367D" w:rsidRDefault="0096367D" w:rsidP="0096367D">
      <w:pPr>
        <w:jc w:val="center"/>
        <w:rPr>
          <w:rFonts w:eastAsia="SimSun"/>
        </w:rPr>
      </w:pPr>
    </w:p>
    <w:p w14:paraId="3D5EC6CF" w14:textId="77777777" w:rsidR="0096367D" w:rsidRDefault="0096367D" w:rsidP="0096367D">
      <w:pPr>
        <w:jc w:val="center"/>
        <w:rPr>
          <w:rFonts w:eastAsia="SimSun"/>
        </w:rPr>
        <w:sectPr w:rsidR="0096367D" w:rsidSect="00BA4AAA">
          <w:headerReference w:type="default" r:id="rId19"/>
          <w:footerReference w:type="even" r:id="rId20"/>
          <w:footerReference w:type="default" r:id="rId21"/>
          <w:footerReference w:type="first" r:id="rId22"/>
          <w:pgSz w:w="11909" w:h="16834" w:code="9"/>
          <w:pgMar w:top="1298" w:right="1298" w:bottom="1298" w:left="1440" w:header="720" w:footer="720" w:gutter="0"/>
          <w:pgNumType w:start="0"/>
          <w:cols w:space="720"/>
          <w:titlePg/>
          <w:docGrid w:linePitch="360"/>
        </w:sectPr>
      </w:pPr>
    </w:p>
    <w:p w14:paraId="77FDC145" w14:textId="77777777" w:rsidR="0096367D" w:rsidRPr="001E6BDA" w:rsidRDefault="0096367D" w:rsidP="0096367D">
      <w:pPr>
        <w:jc w:val="center"/>
        <w:rPr>
          <w:rFonts w:eastAsia="SimSun"/>
          <w:b/>
          <w:bCs/>
          <w:sz w:val="28"/>
          <w:szCs w:val="28"/>
          <w:u w:val="single"/>
        </w:rPr>
      </w:pPr>
      <w:r w:rsidRPr="001E6BDA">
        <w:rPr>
          <w:rFonts w:eastAsia="SimSun"/>
          <w:b/>
          <w:bCs/>
          <w:sz w:val="28"/>
          <w:szCs w:val="28"/>
          <w:u w:val="single"/>
        </w:rPr>
        <w:lastRenderedPageBreak/>
        <w:t xml:space="preserve">ATTACHMENT </w:t>
      </w:r>
      <w:r>
        <w:rPr>
          <w:rFonts w:eastAsia="SimSun"/>
          <w:b/>
          <w:bCs/>
          <w:sz w:val="28"/>
          <w:szCs w:val="28"/>
          <w:u w:val="single"/>
        </w:rPr>
        <w:t>1</w:t>
      </w:r>
    </w:p>
    <w:p w14:paraId="5CEC7E9B" w14:textId="77777777" w:rsidR="0096367D" w:rsidRDefault="0096367D" w:rsidP="0096367D">
      <w:pPr>
        <w:rPr>
          <w:rFonts w:eastAsia="SimSun"/>
          <w:b/>
          <w:bCs/>
          <w:sz w:val="28"/>
          <w:szCs w:val="28"/>
          <w:u w:val="single"/>
        </w:rPr>
      </w:pPr>
    </w:p>
    <w:p w14:paraId="77C1FAF7" w14:textId="77777777" w:rsidR="0096367D" w:rsidRDefault="0096367D" w:rsidP="0096367D">
      <w:pPr>
        <w:rPr>
          <w:rFonts w:eastAsia="SimSun"/>
          <w:b/>
          <w:bCs/>
          <w:sz w:val="28"/>
          <w:szCs w:val="28"/>
          <w:u w:val="single"/>
        </w:rPr>
      </w:pPr>
    </w:p>
    <w:p w14:paraId="67C5BCD4" w14:textId="77777777" w:rsidR="0096367D" w:rsidRDefault="0096367D" w:rsidP="0096367D">
      <w:pPr>
        <w:pStyle w:val="ResNo"/>
      </w:pPr>
      <w:bookmarkStart w:id="8" w:name="_Toc39649427"/>
      <w:r>
        <w:t xml:space="preserve">RESOLUTION </w:t>
      </w:r>
      <w:r>
        <w:rPr>
          <w:rStyle w:val="href"/>
        </w:rPr>
        <w:t>212</w:t>
      </w:r>
      <w:r>
        <w:t xml:space="preserve"> (REV.WRC</w:t>
      </w:r>
      <w:r>
        <w:noBreakHyphen/>
        <w:t>19)</w:t>
      </w:r>
      <w:bookmarkEnd w:id="8"/>
    </w:p>
    <w:p w14:paraId="27EA0ED2" w14:textId="77777777" w:rsidR="0096367D" w:rsidRDefault="0096367D" w:rsidP="0096367D">
      <w:pPr>
        <w:pStyle w:val="Restitle"/>
      </w:pPr>
      <w:bookmarkStart w:id="9" w:name="_Toc450048669"/>
      <w:bookmarkStart w:id="10" w:name="_Toc327364390"/>
      <w:bookmarkStart w:id="11" w:name="_Toc35789309"/>
      <w:bookmarkStart w:id="12" w:name="_Toc35857006"/>
      <w:bookmarkStart w:id="13" w:name="_Toc35877641"/>
      <w:bookmarkStart w:id="14" w:name="_Toc35963584"/>
      <w:bookmarkStart w:id="15" w:name="_Toc39649428"/>
      <w:r>
        <w:t>Implementation of International Mobile Telecommunications in the frequency bands 1 885-2 025 MHz and 2 110-2 200 MHz</w:t>
      </w:r>
      <w:bookmarkEnd w:id="9"/>
      <w:bookmarkEnd w:id="10"/>
      <w:bookmarkEnd w:id="11"/>
      <w:bookmarkEnd w:id="12"/>
      <w:bookmarkEnd w:id="13"/>
      <w:bookmarkEnd w:id="14"/>
      <w:bookmarkEnd w:id="15"/>
    </w:p>
    <w:p w14:paraId="59476727" w14:textId="77777777" w:rsidR="0096367D" w:rsidRDefault="0096367D" w:rsidP="0096367D">
      <w:pPr>
        <w:pStyle w:val="Normalaftertitle0"/>
      </w:pPr>
      <w:r>
        <w:t>The World Radiocommunication Conference (</w:t>
      </w:r>
      <w:r>
        <w:rPr>
          <w:rFonts w:eastAsia="Calibri"/>
          <w:szCs w:val="24"/>
        </w:rPr>
        <w:t xml:space="preserve">Sharm el-Sheikh, </w:t>
      </w:r>
      <w:r>
        <w:rPr>
          <w:szCs w:val="24"/>
        </w:rPr>
        <w:t>2019</w:t>
      </w:r>
      <w:r>
        <w:t>),</w:t>
      </w:r>
    </w:p>
    <w:p w14:paraId="234D2D58" w14:textId="77777777" w:rsidR="0096367D" w:rsidRDefault="0096367D" w:rsidP="0096367D">
      <w:pPr>
        <w:pStyle w:val="Call"/>
      </w:pPr>
      <w:r>
        <w:t>considering</w:t>
      </w:r>
    </w:p>
    <w:p w14:paraId="62D14B34" w14:textId="77777777" w:rsidR="0096367D" w:rsidRDefault="0096367D" w:rsidP="0096367D">
      <w:r>
        <w:rPr>
          <w:i/>
        </w:rPr>
        <w:t>a)</w:t>
      </w:r>
      <w:r>
        <w:tab/>
        <w:t>that Resolution ITU</w:t>
      </w:r>
      <w:r>
        <w:noBreakHyphen/>
        <w:t>R 56 defines the naming for International Mobile Telecommunications (IMT</w:t>
      </w:r>
      <w:proofErr w:type="gramStart"/>
      <w:r>
        <w:t>);</w:t>
      </w:r>
      <w:proofErr w:type="gramEnd"/>
    </w:p>
    <w:p w14:paraId="123EF99D" w14:textId="77777777" w:rsidR="0096367D" w:rsidRDefault="0096367D" w:rsidP="0096367D">
      <w:r>
        <w:rPr>
          <w:i/>
        </w:rPr>
        <w:t>b)</w:t>
      </w:r>
      <w:r>
        <w:tab/>
        <w:t>that the ITU Radiocommunication Sector (ITU</w:t>
      </w:r>
      <w:r>
        <w:noBreakHyphen/>
        <w:t>R), for WRC</w:t>
      </w:r>
      <w:r>
        <w:noBreakHyphen/>
        <w:t xml:space="preserve">97, recommended approximately 230 MHz for use by the terrestrial and satellite components of </w:t>
      </w:r>
      <w:proofErr w:type="gramStart"/>
      <w:r>
        <w:t>IMT;</w:t>
      </w:r>
      <w:proofErr w:type="gramEnd"/>
    </w:p>
    <w:p w14:paraId="14FAA8D8" w14:textId="77777777" w:rsidR="0096367D" w:rsidRDefault="0096367D" w:rsidP="0096367D">
      <w:r>
        <w:rPr>
          <w:i/>
        </w:rPr>
        <w:t>c)</w:t>
      </w:r>
      <w:r>
        <w:rPr>
          <w:i/>
        </w:rPr>
        <w:tab/>
      </w:r>
      <w:r>
        <w:t>that ITU</w:t>
      </w:r>
      <w:r>
        <w:noBreakHyphen/>
        <w:t xml:space="preserve">R studies forecast that additional spectrum may be required to support the future services of IMT and to accommodate future user requirements and network </w:t>
      </w:r>
      <w:proofErr w:type="gramStart"/>
      <w:r>
        <w:t>deployments;</w:t>
      </w:r>
      <w:proofErr w:type="gramEnd"/>
    </w:p>
    <w:p w14:paraId="6F2C31C5" w14:textId="77777777" w:rsidR="0096367D" w:rsidRDefault="0096367D" w:rsidP="0096367D">
      <w:r>
        <w:rPr>
          <w:i/>
        </w:rPr>
        <w:t>d)</w:t>
      </w:r>
      <w:r>
        <w:tab/>
        <w:t>that ITU</w:t>
      </w:r>
      <w:r>
        <w:noBreakHyphen/>
        <w:t>R has recognized that the satellite component is an integral part of </w:t>
      </w:r>
      <w:proofErr w:type="gramStart"/>
      <w:r>
        <w:t>IMT;</w:t>
      </w:r>
      <w:proofErr w:type="gramEnd"/>
    </w:p>
    <w:p w14:paraId="0D7E4177" w14:textId="77777777" w:rsidR="0096367D" w:rsidRPr="00725735" w:rsidRDefault="0096367D" w:rsidP="0096367D">
      <w:r w:rsidRPr="0078754C">
        <w:rPr>
          <w:i/>
        </w:rPr>
        <w:t>e)</w:t>
      </w:r>
      <w:r w:rsidRPr="0078754C">
        <w:tab/>
        <w:t>that, in No. </w:t>
      </w:r>
      <w:r w:rsidRPr="0078754C">
        <w:rPr>
          <w:rStyle w:val="Artref"/>
          <w:b/>
          <w:bCs/>
          <w:color w:val="auto"/>
        </w:rPr>
        <w:t>5.388</w:t>
      </w:r>
      <w:r w:rsidRPr="0078754C">
        <w:t>, WARC</w:t>
      </w:r>
      <w:r w:rsidRPr="0078754C">
        <w:noBreakHyphen/>
        <w:t xml:space="preserve">92 identified frequency bands to accommodate certain mobile </w:t>
      </w:r>
      <w:r w:rsidRPr="00725735">
        <w:t>applications defined as IMT,</w:t>
      </w:r>
    </w:p>
    <w:p w14:paraId="3FA21F1D" w14:textId="77777777" w:rsidR="0096367D" w:rsidRPr="00725735" w:rsidRDefault="0096367D" w:rsidP="0096367D">
      <w:pPr>
        <w:pStyle w:val="Call"/>
      </w:pPr>
      <w:r w:rsidRPr="00725735">
        <w:t>noting</w:t>
      </w:r>
    </w:p>
    <w:p w14:paraId="49906DCE" w14:textId="77777777" w:rsidR="0096367D" w:rsidRPr="00725735" w:rsidRDefault="0096367D" w:rsidP="0096367D">
      <w:r w:rsidRPr="00725735">
        <w:rPr>
          <w:i/>
        </w:rPr>
        <w:t>a)</w:t>
      </w:r>
      <w:r w:rsidRPr="00725735">
        <w:tab/>
        <w:t>that both the terrestrial and satellite components of IMT have already been deployed or are being considered for deployment within the frequency bands 1 885-2 025 MHz and 2 110</w:t>
      </w:r>
      <w:r w:rsidRPr="00725735">
        <w:noBreakHyphen/>
        <w:t>2 200 </w:t>
      </w:r>
      <w:proofErr w:type="gramStart"/>
      <w:r w:rsidRPr="00725735">
        <w:t>MHz;</w:t>
      </w:r>
      <w:proofErr w:type="gramEnd"/>
    </w:p>
    <w:p w14:paraId="44D1629C" w14:textId="77777777" w:rsidR="0096367D" w:rsidRPr="00F125C7" w:rsidRDefault="0096367D" w:rsidP="0096367D">
      <w:r w:rsidRPr="00725735">
        <w:rPr>
          <w:i/>
        </w:rPr>
        <w:t>b)</w:t>
      </w:r>
      <w:r w:rsidRPr="00725735">
        <w:tab/>
        <w:t>that the availability of the satellite component of IMT in the frequency bands 1 980</w:t>
      </w:r>
      <w:r w:rsidRPr="00725735">
        <w:noBreakHyphen/>
        <w:t xml:space="preserve">2 010 MHz and 2 170-2 200 MHz simultaneously with the terrestrial component of IMT </w:t>
      </w:r>
      <w:r w:rsidRPr="00F125C7">
        <w:t>in the frequency bands identified in No. </w:t>
      </w:r>
      <w:r w:rsidRPr="00F125C7">
        <w:rPr>
          <w:rStyle w:val="Artref"/>
          <w:b/>
          <w:color w:val="auto"/>
        </w:rPr>
        <w:t>5.388</w:t>
      </w:r>
      <w:r w:rsidRPr="00F125C7">
        <w:t xml:space="preserve"> would improve the overall use of IMT,</w:t>
      </w:r>
    </w:p>
    <w:p w14:paraId="2FC0CE4B" w14:textId="77777777" w:rsidR="0096367D" w:rsidRPr="00725735" w:rsidRDefault="0096367D" w:rsidP="0096367D">
      <w:pPr>
        <w:pStyle w:val="Call"/>
      </w:pPr>
      <w:r w:rsidRPr="00725735">
        <w:t>noting further</w:t>
      </w:r>
    </w:p>
    <w:p w14:paraId="12B6E200" w14:textId="77777777" w:rsidR="0096367D" w:rsidRPr="00725735" w:rsidRDefault="0096367D" w:rsidP="0096367D">
      <w:r w:rsidRPr="00725735">
        <w:rPr>
          <w:i/>
        </w:rPr>
        <w:t>a)</w:t>
      </w:r>
      <w:r w:rsidRPr="00725735">
        <w:rPr>
          <w:i/>
        </w:rPr>
        <w:tab/>
      </w:r>
      <w:r w:rsidRPr="00725735">
        <w:t>that co</w:t>
      </w:r>
      <w:r w:rsidRPr="00725735">
        <w:noBreakHyphen/>
        <w:t xml:space="preserve">coverage, co-frequency deployment of independent satellite and terrestrial IMT components is not feasible unless techniques, such as the use of an appropriate </w:t>
      </w:r>
      <w:proofErr w:type="spellStart"/>
      <w:r w:rsidRPr="00725735">
        <w:t>guardband</w:t>
      </w:r>
      <w:proofErr w:type="spellEnd"/>
      <w:r w:rsidRPr="00725735">
        <w:t xml:space="preserve"> or other mitigation techniques, are applied to ensure coexistence and compatibility between the terrestrial and satellite components of IMT, but that co-coverage, co-frequency deployment of terrestrial and satellite components of IMT could be feasible if deployed as integrated networks supported by a system providing the management of frequency utilization by both components;</w:t>
      </w:r>
    </w:p>
    <w:p w14:paraId="0D08C9CF" w14:textId="77777777" w:rsidR="0096367D" w:rsidRDefault="0096367D" w:rsidP="0096367D">
      <w:r w:rsidRPr="00725735">
        <w:rPr>
          <w:i/>
        </w:rPr>
        <w:t>b)</w:t>
      </w:r>
      <w:r w:rsidRPr="00725735">
        <w:rPr>
          <w:i/>
        </w:rPr>
        <w:tab/>
      </w:r>
      <w:r w:rsidRPr="00725735">
        <w:t>that, when the satellite and terrestrial components of IMT are deployed in the frequency bands 1 980-2 010 MHz and 2 170-2 200 MHz, technical or operational measures may need to be implemented to avoid harmful interference,</w:t>
      </w:r>
    </w:p>
    <w:p w14:paraId="2CC0F889" w14:textId="77777777" w:rsidR="0096367D" w:rsidRDefault="0096367D" w:rsidP="0096367D">
      <w:pPr>
        <w:pStyle w:val="Call"/>
      </w:pPr>
      <w:r>
        <w:t>resolves</w:t>
      </w:r>
    </w:p>
    <w:p w14:paraId="020B7198" w14:textId="77777777" w:rsidR="0096367D" w:rsidRPr="00725735" w:rsidRDefault="0096367D" w:rsidP="0096367D">
      <w:pPr>
        <w:keepNext/>
      </w:pPr>
      <w:r>
        <w:t>1</w:t>
      </w:r>
      <w:r>
        <w:tab/>
        <w:t xml:space="preserve">that </w:t>
      </w:r>
      <w:r w:rsidRPr="00725735">
        <w:t>administrations which implement IMT:</w:t>
      </w:r>
    </w:p>
    <w:p w14:paraId="0C11952F" w14:textId="77777777" w:rsidR="0096367D" w:rsidRPr="00725735" w:rsidRDefault="0096367D" w:rsidP="0096367D">
      <w:pPr>
        <w:rPr>
          <w:rFonts w:asciiTheme="minorHAnsi" w:eastAsiaTheme="minorEastAsia" w:hAnsiTheme="minorHAnsi" w:cstheme="minorBidi"/>
          <w:sz w:val="22"/>
          <w:szCs w:val="22"/>
          <w:lang w:eastAsia="zh-CN"/>
        </w:rPr>
      </w:pPr>
      <w:r w:rsidRPr="00725735">
        <w:rPr>
          <w:i/>
        </w:rPr>
        <w:t>a)</w:t>
      </w:r>
      <w:r w:rsidRPr="00725735">
        <w:tab/>
        <w:t xml:space="preserve">should make the necessary frequencies available for system </w:t>
      </w:r>
      <w:proofErr w:type="gramStart"/>
      <w:r w:rsidRPr="00725735">
        <w:t>development;</w:t>
      </w:r>
      <w:proofErr w:type="gramEnd"/>
    </w:p>
    <w:p w14:paraId="1994F210" w14:textId="77777777" w:rsidR="0096367D" w:rsidRPr="00725735" w:rsidRDefault="0096367D" w:rsidP="0096367D">
      <w:pPr>
        <w:rPr>
          <w:rFonts w:asciiTheme="minorHAnsi" w:eastAsiaTheme="minorEastAsia" w:hAnsiTheme="minorHAnsi" w:cstheme="minorBidi"/>
          <w:sz w:val="22"/>
          <w:szCs w:val="22"/>
          <w:lang w:eastAsia="zh-CN"/>
        </w:rPr>
      </w:pPr>
      <w:r w:rsidRPr="00725735">
        <w:rPr>
          <w:i/>
          <w:iCs/>
        </w:rPr>
        <w:t>b)</w:t>
      </w:r>
      <w:r w:rsidRPr="00725735">
        <w:tab/>
        <w:t xml:space="preserve">should use those frequencies when IMT is </w:t>
      </w:r>
      <w:proofErr w:type="gramStart"/>
      <w:r w:rsidRPr="00725735">
        <w:t>implemented;</w:t>
      </w:r>
      <w:proofErr w:type="gramEnd"/>
    </w:p>
    <w:p w14:paraId="02170CF3" w14:textId="77777777" w:rsidR="0096367D" w:rsidRPr="00725735" w:rsidRDefault="0096367D" w:rsidP="0096367D">
      <w:pPr>
        <w:ind w:left="1134" w:hanging="1134"/>
        <w:rPr>
          <w:rFonts w:asciiTheme="minorHAnsi" w:eastAsiaTheme="minorEastAsia" w:hAnsiTheme="minorHAnsi" w:cstheme="minorBidi"/>
          <w:sz w:val="22"/>
          <w:szCs w:val="22"/>
          <w:lang w:eastAsia="zh-CN"/>
        </w:rPr>
      </w:pPr>
      <w:r w:rsidRPr="00725735">
        <w:rPr>
          <w:i/>
          <w:iCs/>
        </w:rPr>
        <w:t>c)</w:t>
      </w:r>
      <w:r w:rsidRPr="00725735">
        <w:tab/>
        <w:t>should use the relevant international technical characteristics, as identified by Recommendations of ITU</w:t>
      </w:r>
      <w:r w:rsidRPr="00725735">
        <w:noBreakHyphen/>
        <w:t xml:space="preserve">R and of the ITU Telecommunication Standardization </w:t>
      </w:r>
      <w:proofErr w:type="gramStart"/>
      <w:r w:rsidRPr="00725735">
        <w:t>Sector;</w:t>
      </w:r>
      <w:proofErr w:type="gramEnd"/>
    </w:p>
    <w:p w14:paraId="495872E6" w14:textId="77777777" w:rsidR="0096367D" w:rsidRPr="00725735" w:rsidRDefault="0096367D" w:rsidP="0096367D">
      <w:r w:rsidRPr="00725735">
        <w:t>2</w:t>
      </w:r>
      <w:r w:rsidRPr="00725735">
        <w:tab/>
        <w:t>that administrations should take the technical and operational measures, such as those found in the Annex to this Resolution, to facilitate coexistence and compatibility between the terrestrial and satellite components of IMT in the frequency bands 1 980-2 010 MHz and 2 170</w:t>
      </w:r>
      <w:r w:rsidRPr="00725735">
        <w:noBreakHyphen/>
        <w:t>2 200 </w:t>
      </w:r>
      <w:proofErr w:type="gramStart"/>
      <w:r w:rsidRPr="00725735">
        <w:t>MHz;</w:t>
      </w:r>
      <w:proofErr w:type="gramEnd"/>
    </w:p>
    <w:p w14:paraId="613CAE9E" w14:textId="77777777" w:rsidR="0096367D" w:rsidRPr="00725735" w:rsidRDefault="0096367D" w:rsidP="0096367D">
      <w:pPr>
        <w:rPr>
          <w:rFonts w:asciiTheme="minorHAnsi" w:eastAsiaTheme="minorEastAsia" w:hAnsiTheme="minorHAnsi" w:cstheme="minorBidi"/>
          <w:sz w:val="22"/>
          <w:szCs w:val="22"/>
          <w:lang w:eastAsia="zh-CN"/>
        </w:rPr>
      </w:pPr>
      <w:r w:rsidRPr="00725735">
        <w:lastRenderedPageBreak/>
        <w:t>3</w:t>
      </w:r>
      <w:r w:rsidRPr="00725735">
        <w:tab/>
        <w:t>that, in the event of harmful interference, the concerned administrations should investigate and take technical and operational measures, as appropriate, to reduce interference to an acceptable level,</w:t>
      </w:r>
    </w:p>
    <w:p w14:paraId="7003E060" w14:textId="77777777" w:rsidR="0096367D" w:rsidRPr="00725735" w:rsidRDefault="0096367D" w:rsidP="0096367D">
      <w:pPr>
        <w:pStyle w:val="Call"/>
      </w:pPr>
      <w:r w:rsidRPr="00725735">
        <w:t>invites the ITU Radiocommunication Sector</w:t>
      </w:r>
    </w:p>
    <w:p w14:paraId="5FC3C22D" w14:textId="77777777" w:rsidR="0096367D" w:rsidRDefault="0096367D" w:rsidP="0096367D">
      <w:r w:rsidRPr="00725735">
        <w:t>to study possible technical and operational measures to improve co-existence and compatibility between the terrestrial and satellite components of IMT in the frequency bands 1 980-2 010 MHz and 2 170</w:t>
      </w:r>
      <w:r w:rsidRPr="00725735">
        <w:noBreakHyphen/>
        <w:t>2 200 MHz where those frequency bands are shared by the mobile service and the mobile-satellite service in different countries, in particular for the deployment of</w:t>
      </w:r>
      <w:r>
        <w:t xml:space="preserve"> independent satellite and terrestrial components of IMT and to facilitate development of both the satellite and terrestrial components of IMT,</w:t>
      </w:r>
    </w:p>
    <w:p w14:paraId="73FD2990" w14:textId="77777777" w:rsidR="0096367D" w:rsidRDefault="0096367D" w:rsidP="0096367D">
      <w:pPr>
        <w:pStyle w:val="Call"/>
      </w:pPr>
      <w:r>
        <w:t>invites administrations</w:t>
      </w:r>
    </w:p>
    <w:p w14:paraId="523064C2" w14:textId="77777777" w:rsidR="0096367D" w:rsidRDefault="0096367D" w:rsidP="0096367D">
      <w:pPr>
        <w:tabs>
          <w:tab w:val="left" w:pos="720"/>
        </w:tabs>
      </w:pPr>
      <w:r>
        <w:t>1</w:t>
      </w:r>
      <w:r>
        <w:tab/>
        <w:t xml:space="preserve">to give due consideration to the accommodation of other services currently operating in these frequency bands when implementing </w:t>
      </w:r>
      <w:proofErr w:type="gramStart"/>
      <w:r>
        <w:t>IMT;</w:t>
      </w:r>
      <w:proofErr w:type="gramEnd"/>
    </w:p>
    <w:p w14:paraId="2596529A" w14:textId="77777777" w:rsidR="0096367D" w:rsidRDefault="0096367D" w:rsidP="0096367D">
      <w:pPr>
        <w:keepNext/>
      </w:pPr>
      <w:r>
        <w:t>2</w:t>
      </w:r>
      <w:r>
        <w:tab/>
        <w:t>to facilitate coexistence of the satellite component of IMT with the terrestrial component of IMT in the frequency band 1 980-2 010 MHz, by the concerned administrations, as appropriate, considering the following:</w:t>
      </w:r>
    </w:p>
    <w:p w14:paraId="12EB958C" w14:textId="77777777" w:rsidR="0096367D" w:rsidRDefault="0096367D" w:rsidP="0096367D">
      <w:pPr>
        <w:pStyle w:val="enumlev1"/>
      </w:pPr>
      <w:r>
        <w:rPr>
          <w:i/>
          <w:iCs/>
        </w:rPr>
        <w:t>a)</w:t>
      </w:r>
      <w:r>
        <w:tab/>
        <w:t>to apply an uplink direction from user equipment to IMT base stations as provided in the latest version of Recommendation ITU</w:t>
      </w:r>
      <w:r>
        <w:noBreakHyphen/>
        <w:t>R M.1036, for the user equipment belonging to the terrestrial component of IMT in the frequency band 1 980-2 010 MHz (see the Annex to this Resolution</w:t>
      </w:r>
      <w:proofErr w:type="gramStart"/>
      <w:r>
        <w:t>);</w:t>
      </w:r>
      <w:proofErr w:type="gramEnd"/>
    </w:p>
    <w:p w14:paraId="72D4C6CA" w14:textId="77777777" w:rsidR="0096367D" w:rsidRDefault="0096367D" w:rsidP="0096367D">
      <w:pPr>
        <w:pStyle w:val="enumlev1"/>
      </w:pPr>
      <w:r>
        <w:rPr>
          <w:i/>
          <w:iCs/>
        </w:rPr>
        <w:t>b)</w:t>
      </w:r>
      <w:r>
        <w:tab/>
        <w:t xml:space="preserve">that, in the event of harmful interference to the satellite component of the IMT space station, the concerned administrations may take additional steps to facilitate the reduction of harmful interference to an acceptable </w:t>
      </w:r>
      <w:proofErr w:type="gramStart"/>
      <w:r>
        <w:t>level;</w:t>
      </w:r>
      <w:proofErr w:type="gramEnd"/>
    </w:p>
    <w:p w14:paraId="67DB36A8" w14:textId="77777777" w:rsidR="0096367D" w:rsidRDefault="0096367D" w:rsidP="0096367D">
      <w:pPr>
        <w:keepNext/>
      </w:pPr>
      <w:r>
        <w:rPr>
          <w:color w:val="000000"/>
        </w:rPr>
        <w:t>3</w:t>
      </w:r>
      <w:r>
        <w:rPr>
          <w:color w:val="000000"/>
        </w:rPr>
        <w:tab/>
        <w:t>to facilitate coexistence of</w:t>
      </w:r>
      <w:r>
        <w:t xml:space="preserve"> the terrestrial component of IMT stations with the satellite component of IMT in the frequency band 2 170-2 200 MHz, by the concerned administrations, as appropriate, considering the following:</w:t>
      </w:r>
    </w:p>
    <w:p w14:paraId="5FCCADDC" w14:textId="77777777" w:rsidR="0096367D" w:rsidRDefault="0096367D" w:rsidP="0096367D">
      <w:pPr>
        <w:pStyle w:val="enumlev1"/>
      </w:pPr>
      <w:r>
        <w:rPr>
          <w:i/>
          <w:iCs/>
        </w:rPr>
        <w:t>a)</w:t>
      </w:r>
      <w:r>
        <w:tab/>
        <w:t>to apply an appropriate power flux-density value to the IMT space stations in the frequency band 2 170-2 200 MHz (see the Annex to this Resolution</w:t>
      </w:r>
      <w:proofErr w:type="gramStart"/>
      <w:r>
        <w:t>);</w:t>
      </w:r>
      <w:proofErr w:type="gramEnd"/>
    </w:p>
    <w:p w14:paraId="4A36C12A" w14:textId="77777777" w:rsidR="0096367D" w:rsidRDefault="0096367D" w:rsidP="0096367D">
      <w:pPr>
        <w:pStyle w:val="enumlev1"/>
      </w:pPr>
      <w:r>
        <w:rPr>
          <w:i/>
          <w:iCs/>
        </w:rPr>
        <w:t>b)</w:t>
      </w:r>
      <w:r>
        <w:tab/>
        <w:t>that, in the event of harmful interference to the terrestrial component of IMT, the concerned administrations may take additional steps to facilitate the reduction of harmful interference to an acceptable level.</w:t>
      </w:r>
    </w:p>
    <w:p w14:paraId="319D45D8" w14:textId="77777777" w:rsidR="0096367D" w:rsidRDefault="0096367D" w:rsidP="0096367D">
      <w:pPr>
        <w:pStyle w:val="enumlev1"/>
      </w:pPr>
    </w:p>
    <w:p w14:paraId="798D4449" w14:textId="77777777" w:rsidR="0096367D" w:rsidRDefault="0096367D" w:rsidP="0096367D">
      <w:pPr>
        <w:pStyle w:val="enumlev1"/>
      </w:pPr>
    </w:p>
    <w:p w14:paraId="3B819609" w14:textId="77777777" w:rsidR="0096367D" w:rsidRDefault="0096367D" w:rsidP="0096367D">
      <w:r>
        <w:br w:type="page"/>
      </w:r>
    </w:p>
    <w:p w14:paraId="7565B84C" w14:textId="77777777" w:rsidR="0096367D" w:rsidRDefault="0096367D" w:rsidP="0096367D">
      <w:pPr>
        <w:pStyle w:val="AnnexNo"/>
      </w:pPr>
      <w:r>
        <w:lastRenderedPageBreak/>
        <w:t>Annex to Resolution 212 (Rev.WRC-19)</w:t>
      </w:r>
    </w:p>
    <w:p w14:paraId="5A5C446D" w14:textId="77777777" w:rsidR="0096367D" w:rsidRDefault="0096367D" w:rsidP="0096367D">
      <w:pPr>
        <w:pStyle w:val="Annextitle"/>
      </w:pPr>
      <w:r>
        <w:t>Guidance on the implementation of technical and operational measures to facilitate coexistence between terrestrial and satellite components of International Mobile Telecommunications in the frequency bands 1 980-2 010 MHz and 2 170-2 200 MHz</w:t>
      </w:r>
    </w:p>
    <w:p w14:paraId="20B9FD84" w14:textId="77777777" w:rsidR="0096367D" w:rsidRDefault="0096367D" w:rsidP="0096367D">
      <w:pPr>
        <w:pStyle w:val="Normalaftertitle0"/>
        <w:rPr>
          <w:bCs/>
        </w:rPr>
      </w:pPr>
      <w:r>
        <w:t xml:space="preserve">This Annex provides guidance to concerned administrations on the following technical, operational and other applicable measures in the deployment of terrestrial and satellite components of International Mobile Telecommunications (IMT) for reducing the potential of harmful interference between the terrestrial and satellite components of IMT in the frequency bands 1 980-2 010 MHz and 2 170-2 200 MHz for the interference scenarios indicated in the table below, noting </w:t>
      </w:r>
      <w:r>
        <w:rPr>
          <w:bCs/>
        </w:rPr>
        <w:t>the applicability of any relevant Article</w:t>
      </w:r>
      <w:r>
        <w:t> </w:t>
      </w:r>
      <w:r>
        <w:rPr>
          <w:b/>
        </w:rPr>
        <w:t>9</w:t>
      </w:r>
      <w:r>
        <w:rPr>
          <w:bCs/>
        </w:rPr>
        <w:t xml:space="preserve"> coordination procedures for scenarios</w:t>
      </w:r>
      <w:r>
        <w:t> </w:t>
      </w:r>
      <w:r>
        <w:rPr>
          <w:bCs/>
        </w:rPr>
        <w:t>A2, B1 and</w:t>
      </w:r>
      <w:r>
        <w:t> </w:t>
      </w:r>
      <w:r>
        <w:rPr>
          <w:bCs/>
        </w:rPr>
        <w:t>B2</w:t>
      </w:r>
      <w:r>
        <w:t xml:space="preserve">. </w:t>
      </w:r>
      <w:r>
        <w:rPr>
          <w:bCs/>
        </w:rPr>
        <w:t xml:space="preserve">The identified measures may be applicable for some scenarios and may not be applicable to other </w:t>
      </w:r>
      <w:proofErr w:type="gramStart"/>
      <w:r>
        <w:rPr>
          <w:bCs/>
        </w:rPr>
        <w:t>scenarios, and</w:t>
      </w:r>
      <w:proofErr w:type="gramEnd"/>
      <w:r>
        <w:rPr>
          <w:bCs/>
        </w:rPr>
        <w:t xml:space="preserve"> may or may not be implementable in satellite and terrestrial IMT system designs.</w:t>
      </w:r>
    </w:p>
    <w:p w14:paraId="1A3F645B" w14:textId="77777777" w:rsidR="0096367D" w:rsidRDefault="0096367D" w:rsidP="0096367D"/>
    <w:p w14:paraId="0CF9C1C4" w14:textId="77777777" w:rsidR="0096367D" w:rsidRDefault="0096367D" w:rsidP="0096367D">
      <w:pPr>
        <w:pStyle w:val="Tabletitle"/>
        <w:rPr>
          <w:rFonts w:asciiTheme="minorHAnsi" w:eastAsiaTheme="minorEastAsia" w:hAnsiTheme="minorHAnsi" w:cstheme="minorBidi"/>
          <w:sz w:val="22"/>
          <w:lang w:eastAsia="zh-CN"/>
        </w:rPr>
      </w:pPr>
      <w:r>
        <w:t>Interference scenarios</w:t>
      </w:r>
    </w:p>
    <w:tbl>
      <w:tblPr>
        <w:tblW w:w="0" w:type="auto"/>
        <w:tblLook w:val="04A0" w:firstRow="1" w:lastRow="0" w:firstColumn="1" w:lastColumn="0" w:noHBand="0" w:noVBand="1"/>
      </w:tblPr>
      <w:tblGrid>
        <w:gridCol w:w="1259"/>
        <w:gridCol w:w="3959"/>
        <w:gridCol w:w="4089"/>
      </w:tblGrid>
      <w:tr w:rsidR="0096367D" w14:paraId="202A73F0" w14:textId="77777777" w:rsidTr="00F37272">
        <w:trPr>
          <w:cantSplit/>
          <w:tblHeader/>
        </w:trPr>
        <w:tc>
          <w:tcPr>
            <w:tcW w:w="1271" w:type="dxa"/>
            <w:tcBorders>
              <w:top w:val="single" w:sz="4" w:space="0" w:color="auto"/>
              <w:left w:val="single" w:sz="4" w:space="0" w:color="auto"/>
              <w:bottom w:val="single" w:sz="4" w:space="0" w:color="auto"/>
              <w:right w:val="single" w:sz="4" w:space="0" w:color="auto"/>
            </w:tcBorders>
            <w:hideMark/>
          </w:tcPr>
          <w:p w14:paraId="648B3359" w14:textId="77777777" w:rsidR="0096367D" w:rsidRDefault="0096367D" w:rsidP="00F37272">
            <w:pPr>
              <w:pStyle w:val="Tablehead"/>
            </w:pPr>
            <w:r>
              <w:t>Scenario</w:t>
            </w:r>
          </w:p>
        </w:tc>
        <w:tc>
          <w:tcPr>
            <w:tcW w:w="4111" w:type="dxa"/>
            <w:tcBorders>
              <w:top w:val="single" w:sz="4" w:space="0" w:color="auto"/>
              <w:left w:val="single" w:sz="4" w:space="0" w:color="auto"/>
              <w:bottom w:val="single" w:sz="4" w:space="0" w:color="auto"/>
              <w:right w:val="single" w:sz="4" w:space="0" w:color="auto"/>
            </w:tcBorders>
            <w:hideMark/>
          </w:tcPr>
          <w:p w14:paraId="4B3DD18C" w14:textId="77777777" w:rsidR="0096367D" w:rsidRDefault="0096367D" w:rsidP="00F37272">
            <w:pPr>
              <w:pStyle w:val="Tablehead"/>
            </w:pPr>
            <w:r>
              <w:t>From</w:t>
            </w:r>
          </w:p>
        </w:tc>
        <w:tc>
          <w:tcPr>
            <w:tcW w:w="4247" w:type="dxa"/>
            <w:tcBorders>
              <w:top w:val="single" w:sz="4" w:space="0" w:color="auto"/>
              <w:left w:val="single" w:sz="4" w:space="0" w:color="auto"/>
              <w:bottom w:val="single" w:sz="4" w:space="0" w:color="auto"/>
              <w:right w:val="single" w:sz="4" w:space="0" w:color="auto"/>
            </w:tcBorders>
            <w:hideMark/>
          </w:tcPr>
          <w:p w14:paraId="1D9CB723" w14:textId="77777777" w:rsidR="0096367D" w:rsidRDefault="0096367D" w:rsidP="00F37272">
            <w:pPr>
              <w:pStyle w:val="Tablehead"/>
            </w:pPr>
            <w:r>
              <w:t>To</w:t>
            </w:r>
          </w:p>
        </w:tc>
      </w:tr>
      <w:tr w:rsidR="0096367D" w14:paraId="2011E1EA" w14:textId="77777777" w:rsidTr="00F37272">
        <w:tc>
          <w:tcPr>
            <w:tcW w:w="1271" w:type="dxa"/>
            <w:tcBorders>
              <w:top w:val="single" w:sz="4" w:space="0" w:color="auto"/>
              <w:left w:val="single" w:sz="4" w:space="0" w:color="auto"/>
              <w:bottom w:val="single" w:sz="4" w:space="0" w:color="auto"/>
              <w:right w:val="single" w:sz="4" w:space="0" w:color="auto"/>
            </w:tcBorders>
            <w:hideMark/>
          </w:tcPr>
          <w:p w14:paraId="17AE76D6" w14:textId="77777777" w:rsidR="0096367D" w:rsidRDefault="0096367D" w:rsidP="00F37272">
            <w:pPr>
              <w:pStyle w:val="Tabletext"/>
              <w:jc w:val="center"/>
            </w:pPr>
            <w:r>
              <w:t>A1</w:t>
            </w:r>
          </w:p>
        </w:tc>
        <w:tc>
          <w:tcPr>
            <w:tcW w:w="4111" w:type="dxa"/>
            <w:tcBorders>
              <w:top w:val="single" w:sz="4" w:space="0" w:color="auto"/>
              <w:left w:val="single" w:sz="4" w:space="0" w:color="auto"/>
              <w:bottom w:val="single" w:sz="4" w:space="0" w:color="auto"/>
              <w:right w:val="single" w:sz="4" w:space="0" w:color="auto"/>
            </w:tcBorders>
            <w:hideMark/>
          </w:tcPr>
          <w:p w14:paraId="1B11AF82" w14:textId="77777777" w:rsidR="0096367D" w:rsidRDefault="0096367D" w:rsidP="00F37272">
            <w:pPr>
              <w:pStyle w:val="Tabletext"/>
            </w:pPr>
            <w:r>
              <w:t>Terrestrial IMT base station or mobile station</w:t>
            </w:r>
          </w:p>
        </w:tc>
        <w:tc>
          <w:tcPr>
            <w:tcW w:w="4247" w:type="dxa"/>
            <w:tcBorders>
              <w:top w:val="single" w:sz="4" w:space="0" w:color="auto"/>
              <w:left w:val="single" w:sz="4" w:space="0" w:color="auto"/>
              <w:bottom w:val="single" w:sz="4" w:space="0" w:color="auto"/>
              <w:right w:val="single" w:sz="4" w:space="0" w:color="auto"/>
            </w:tcBorders>
            <w:hideMark/>
          </w:tcPr>
          <w:p w14:paraId="1086D7CF" w14:textId="77777777" w:rsidR="0096367D" w:rsidRDefault="0096367D" w:rsidP="00F37272">
            <w:pPr>
              <w:pStyle w:val="Tabletext"/>
            </w:pPr>
            <w:r>
              <w:t>Satellite IMT space station</w:t>
            </w:r>
          </w:p>
        </w:tc>
      </w:tr>
      <w:tr w:rsidR="0096367D" w14:paraId="6A8C920B" w14:textId="77777777" w:rsidTr="00F37272">
        <w:tc>
          <w:tcPr>
            <w:tcW w:w="1271" w:type="dxa"/>
            <w:tcBorders>
              <w:top w:val="single" w:sz="4" w:space="0" w:color="auto"/>
              <w:left w:val="single" w:sz="4" w:space="0" w:color="auto"/>
              <w:bottom w:val="single" w:sz="4" w:space="0" w:color="auto"/>
              <w:right w:val="single" w:sz="4" w:space="0" w:color="auto"/>
            </w:tcBorders>
            <w:hideMark/>
          </w:tcPr>
          <w:p w14:paraId="69148CF2" w14:textId="77777777" w:rsidR="0096367D" w:rsidRDefault="0096367D" w:rsidP="00F37272">
            <w:pPr>
              <w:pStyle w:val="Tabletext"/>
              <w:jc w:val="center"/>
            </w:pPr>
            <w:r>
              <w:t>A2</w:t>
            </w:r>
          </w:p>
        </w:tc>
        <w:tc>
          <w:tcPr>
            <w:tcW w:w="4111" w:type="dxa"/>
            <w:tcBorders>
              <w:top w:val="single" w:sz="4" w:space="0" w:color="auto"/>
              <w:left w:val="single" w:sz="4" w:space="0" w:color="auto"/>
              <w:bottom w:val="single" w:sz="4" w:space="0" w:color="auto"/>
              <w:right w:val="single" w:sz="4" w:space="0" w:color="auto"/>
            </w:tcBorders>
            <w:hideMark/>
          </w:tcPr>
          <w:p w14:paraId="54700FEE" w14:textId="77777777" w:rsidR="0096367D" w:rsidRDefault="0096367D" w:rsidP="00F37272">
            <w:pPr>
              <w:pStyle w:val="Tabletext"/>
            </w:pPr>
            <w:r>
              <w:t>Terrestrial IMT base station</w:t>
            </w:r>
          </w:p>
        </w:tc>
        <w:tc>
          <w:tcPr>
            <w:tcW w:w="4247" w:type="dxa"/>
            <w:tcBorders>
              <w:top w:val="single" w:sz="4" w:space="0" w:color="auto"/>
              <w:left w:val="single" w:sz="4" w:space="0" w:color="auto"/>
              <w:bottom w:val="single" w:sz="4" w:space="0" w:color="auto"/>
              <w:right w:val="single" w:sz="4" w:space="0" w:color="auto"/>
            </w:tcBorders>
            <w:hideMark/>
          </w:tcPr>
          <w:p w14:paraId="6A200C81" w14:textId="77777777" w:rsidR="0096367D" w:rsidRDefault="0096367D" w:rsidP="00F37272">
            <w:pPr>
              <w:pStyle w:val="Tabletext"/>
            </w:pPr>
            <w:r>
              <w:t>Satellite IMT mobile earth station</w:t>
            </w:r>
          </w:p>
        </w:tc>
      </w:tr>
      <w:tr w:rsidR="0096367D" w14:paraId="42F269F6" w14:textId="77777777" w:rsidTr="00F37272">
        <w:tc>
          <w:tcPr>
            <w:tcW w:w="1271" w:type="dxa"/>
            <w:tcBorders>
              <w:top w:val="single" w:sz="4" w:space="0" w:color="auto"/>
              <w:left w:val="single" w:sz="4" w:space="0" w:color="auto"/>
              <w:bottom w:val="single" w:sz="4" w:space="0" w:color="auto"/>
              <w:right w:val="single" w:sz="4" w:space="0" w:color="auto"/>
            </w:tcBorders>
            <w:hideMark/>
          </w:tcPr>
          <w:p w14:paraId="2DCBA064" w14:textId="77777777" w:rsidR="0096367D" w:rsidRDefault="0096367D" w:rsidP="00F37272">
            <w:pPr>
              <w:pStyle w:val="Tabletext"/>
              <w:jc w:val="center"/>
            </w:pPr>
            <w:r>
              <w:t>B1</w:t>
            </w:r>
          </w:p>
        </w:tc>
        <w:tc>
          <w:tcPr>
            <w:tcW w:w="4111" w:type="dxa"/>
            <w:tcBorders>
              <w:top w:val="single" w:sz="4" w:space="0" w:color="auto"/>
              <w:left w:val="single" w:sz="4" w:space="0" w:color="auto"/>
              <w:bottom w:val="single" w:sz="4" w:space="0" w:color="auto"/>
              <w:right w:val="single" w:sz="4" w:space="0" w:color="auto"/>
            </w:tcBorders>
            <w:hideMark/>
          </w:tcPr>
          <w:p w14:paraId="77D4E17C" w14:textId="77777777" w:rsidR="0096367D" w:rsidRDefault="0096367D" w:rsidP="00F37272">
            <w:pPr>
              <w:pStyle w:val="Tabletext"/>
            </w:pPr>
            <w:r>
              <w:t>Satellite IMT mobile earth station</w:t>
            </w:r>
          </w:p>
        </w:tc>
        <w:tc>
          <w:tcPr>
            <w:tcW w:w="4247" w:type="dxa"/>
            <w:tcBorders>
              <w:top w:val="single" w:sz="4" w:space="0" w:color="auto"/>
              <w:left w:val="single" w:sz="4" w:space="0" w:color="auto"/>
              <w:bottom w:val="single" w:sz="4" w:space="0" w:color="auto"/>
              <w:right w:val="single" w:sz="4" w:space="0" w:color="auto"/>
            </w:tcBorders>
            <w:hideMark/>
          </w:tcPr>
          <w:p w14:paraId="3CDB44FD" w14:textId="77777777" w:rsidR="0096367D" w:rsidRDefault="0096367D" w:rsidP="00F37272">
            <w:pPr>
              <w:pStyle w:val="Tabletext"/>
            </w:pPr>
            <w:r>
              <w:t>Terrestrial IMT base station or user equipment</w:t>
            </w:r>
          </w:p>
        </w:tc>
      </w:tr>
      <w:tr w:rsidR="0096367D" w14:paraId="6ADB868D" w14:textId="77777777" w:rsidTr="00F37272">
        <w:tc>
          <w:tcPr>
            <w:tcW w:w="1271" w:type="dxa"/>
            <w:tcBorders>
              <w:top w:val="single" w:sz="4" w:space="0" w:color="auto"/>
              <w:left w:val="single" w:sz="4" w:space="0" w:color="auto"/>
              <w:bottom w:val="single" w:sz="4" w:space="0" w:color="auto"/>
              <w:right w:val="single" w:sz="4" w:space="0" w:color="auto"/>
            </w:tcBorders>
            <w:hideMark/>
          </w:tcPr>
          <w:p w14:paraId="68D7EA37" w14:textId="77777777" w:rsidR="0096367D" w:rsidRDefault="0096367D" w:rsidP="00F37272">
            <w:pPr>
              <w:pStyle w:val="Tabletext"/>
              <w:jc w:val="center"/>
            </w:pPr>
            <w:r>
              <w:t>B2</w:t>
            </w:r>
          </w:p>
        </w:tc>
        <w:tc>
          <w:tcPr>
            <w:tcW w:w="4111" w:type="dxa"/>
            <w:tcBorders>
              <w:top w:val="single" w:sz="4" w:space="0" w:color="auto"/>
              <w:left w:val="single" w:sz="4" w:space="0" w:color="auto"/>
              <w:bottom w:val="single" w:sz="4" w:space="0" w:color="auto"/>
              <w:right w:val="single" w:sz="4" w:space="0" w:color="auto"/>
            </w:tcBorders>
            <w:hideMark/>
          </w:tcPr>
          <w:p w14:paraId="3E4136BE" w14:textId="77777777" w:rsidR="0096367D" w:rsidRDefault="0096367D" w:rsidP="00F37272">
            <w:pPr>
              <w:pStyle w:val="Tabletext"/>
            </w:pPr>
            <w:r>
              <w:t>Satellite IMT space station</w:t>
            </w:r>
          </w:p>
        </w:tc>
        <w:tc>
          <w:tcPr>
            <w:tcW w:w="4247" w:type="dxa"/>
            <w:tcBorders>
              <w:top w:val="single" w:sz="4" w:space="0" w:color="auto"/>
              <w:left w:val="single" w:sz="4" w:space="0" w:color="auto"/>
              <w:bottom w:val="single" w:sz="4" w:space="0" w:color="auto"/>
              <w:right w:val="single" w:sz="4" w:space="0" w:color="auto"/>
            </w:tcBorders>
            <w:hideMark/>
          </w:tcPr>
          <w:p w14:paraId="66DDED0A" w14:textId="77777777" w:rsidR="0096367D" w:rsidRDefault="0096367D" w:rsidP="00F37272">
            <w:pPr>
              <w:pStyle w:val="Tabletext"/>
            </w:pPr>
            <w:r>
              <w:t>Terrestrial IMT user equipment</w:t>
            </w:r>
          </w:p>
        </w:tc>
      </w:tr>
    </w:tbl>
    <w:p w14:paraId="02C5BAF9" w14:textId="77777777" w:rsidR="0096367D" w:rsidRDefault="0096367D" w:rsidP="0096367D">
      <w:r>
        <w:t>1)</w:t>
      </w:r>
      <w:r>
        <w:tab/>
        <w:t>Measures for the terrestrial component of IMT:</w:t>
      </w:r>
    </w:p>
    <w:p w14:paraId="76A29DB9" w14:textId="77777777" w:rsidR="0096367D" w:rsidRDefault="0096367D" w:rsidP="0096367D">
      <w:pPr>
        <w:pStyle w:val="enumlev1"/>
      </w:pPr>
      <w:r>
        <w:t>a)</w:t>
      </w:r>
      <w:r>
        <w:tab/>
        <w:t>Use base station antennas with improved sidelobe performance as shown in relevant ITU</w:t>
      </w:r>
      <w:r>
        <w:noBreakHyphen/>
        <w:t>R Recommendations and Reports (</w:t>
      </w:r>
      <w:proofErr w:type="gramStart"/>
      <w:r>
        <w:t>e.g.</w:t>
      </w:r>
      <w:proofErr w:type="gramEnd"/>
      <w:r>
        <w:t> improved antenna patterns compared with those contained in Recommendation ITU</w:t>
      </w:r>
      <w:r>
        <w:noBreakHyphen/>
        <w:t>R F.1336).</w:t>
      </w:r>
    </w:p>
    <w:p w14:paraId="5789B60C" w14:textId="77777777" w:rsidR="0096367D" w:rsidRDefault="0096367D" w:rsidP="0096367D">
      <w:pPr>
        <w:pStyle w:val="enumlev1"/>
      </w:pPr>
      <w:r>
        <w:t>b)</w:t>
      </w:r>
      <w:r>
        <w:tab/>
        <w:t>Consider the orientation in elevation and/or in azimuth of the IMT base station antenna pointing in the coexistence analysis with a view to reducing the interference level from the IMT base station above the horizon.</w:t>
      </w:r>
    </w:p>
    <w:p w14:paraId="5919D43B" w14:textId="77777777" w:rsidR="0096367D" w:rsidRDefault="0096367D" w:rsidP="0096367D">
      <w:pPr>
        <w:pStyle w:val="enumlev1"/>
      </w:pPr>
      <w:r>
        <w:t>c)</w:t>
      </w:r>
      <w:r>
        <w:tab/>
        <w:t>Consider the impact of the actual deployment scenario, including the activity factor values of the terrestrial component of IMT, on the coexistence.</w:t>
      </w:r>
    </w:p>
    <w:p w14:paraId="4EEFCE86" w14:textId="77777777" w:rsidR="0096367D" w:rsidRDefault="0096367D" w:rsidP="0096367D">
      <w:pPr>
        <w:pStyle w:val="enumlev1"/>
      </w:pPr>
      <w:r>
        <w:t>d)</w:t>
      </w:r>
      <w:r>
        <w:tab/>
        <w:t xml:space="preserve">Consider attenuation from terrain and clutter </w:t>
      </w:r>
      <w:proofErr w:type="gramStart"/>
      <w:r>
        <w:t>taking into account</w:t>
      </w:r>
      <w:proofErr w:type="gramEnd"/>
      <w:r>
        <w:t xml:space="preserve"> the deployment environments and propagation effects in the coexistence analysis.</w:t>
      </w:r>
    </w:p>
    <w:p w14:paraId="60D2C484" w14:textId="5CAF32E5" w:rsidR="0096367D" w:rsidRDefault="0096367D" w:rsidP="0096367D">
      <w:pPr>
        <w:pStyle w:val="enumlev1"/>
      </w:pPr>
      <w:r>
        <w:t>e)</w:t>
      </w:r>
      <w:r>
        <w:tab/>
        <w:t>Consider reducing the equivalent isotropically radiated power in the frequency band 1 980-2 010 MHz to a level sufficient for coexistence, for example, nominally to −10 dB(W/5 MHz)</w:t>
      </w:r>
      <w:r>
        <w:rPr>
          <w:rStyle w:val="FootnoteReference"/>
        </w:rPr>
        <w:footnoteReference w:customMarkFollows="1" w:id="3"/>
        <w:t>1</w:t>
      </w:r>
      <w:r>
        <w:t>.</w:t>
      </w:r>
      <w:r w:rsidR="003E6823">
        <w:t xml:space="preserve"> </w:t>
      </w:r>
    </w:p>
    <w:p w14:paraId="44984248" w14:textId="77777777" w:rsidR="0096367D" w:rsidRDefault="0096367D" w:rsidP="003E6823">
      <w:pPr>
        <w:pStyle w:val="enumlev1"/>
        <w:ind w:left="0" w:firstLine="0"/>
      </w:pPr>
      <w:r>
        <w:t>f)</w:t>
      </w:r>
      <w:r>
        <w:tab/>
        <w:t>Set the transmission direction for the use of the frequency band 1 980-2 010 MHz with regard to the IMT base station to operate in receive mode as found in relevant ITU</w:t>
      </w:r>
      <w:r>
        <w:noBreakHyphen/>
        <w:t>R Recommendations.</w:t>
      </w:r>
    </w:p>
    <w:p w14:paraId="20339023" w14:textId="77777777" w:rsidR="0096367D" w:rsidRDefault="0096367D" w:rsidP="0096367D">
      <w:pPr>
        <w:pStyle w:val="enumlev1"/>
      </w:pPr>
      <w:r>
        <w:t>g)</w:t>
      </w:r>
      <w:r>
        <w:tab/>
        <w:t>Implement other applicable interference mitigation techniques.</w:t>
      </w:r>
    </w:p>
    <w:p w14:paraId="752D493B" w14:textId="77777777" w:rsidR="0096367D" w:rsidRDefault="0096367D" w:rsidP="0096367D">
      <w:pPr>
        <w:pStyle w:val="enumlev1"/>
      </w:pPr>
    </w:p>
    <w:p w14:paraId="655F5750" w14:textId="77777777" w:rsidR="0096367D" w:rsidRDefault="0096367D" w:rsidP="0096367D">
      <w:pPr>
        <w:keepNext/>
        <w:rPr>
          <w:i/>
          <w:iCs/>
        </w:rPr>
      </w:pPr>
      <w:r>
        <w:lastRenderedPageBreak/>
        <w:t>2)</w:t>
      </w:r>
      <w:r>
        <w:tab/>
        <w:t>Measures for the satellite component of IMT:</w:t>
      </w:r>
    </w:p>
    <w:p w14:paraId="15A59412" w14:textId="77777777" w:rsidR="0096367D" w:rsidRDefault="0096367D" w:rsidP="0096367D">
      <w:pPr>
        <w:pStyle w:val="enumlev1"/>
      </w:pPr>
      <w:r>
        <w:t>a)</w:t>
      </w:r>
      <w:r>
        <w:tab/>
        <w:t>Use narrower spot beams and steeper roll-off from the boresight of the satellite antenna (</w:t>
      </w:r>
      <w:proofErr w:type="gramStart"/>
      <w:r>
        <w:t>i.e.</w:t>
      </w:r>
      <w:proofErr w:type="gramEnd"/>
      <w:r>
        <w:t xml:space="preserve"> not only reducing the interference level from the antenna sidelobe but also increasing frequency reuse and resilience to interference).</w:t>
      </w:r>
    </w:p>
    <w:p w14:paraId="0C2E419F" w14:textId="77777777" w:rsidR="0096367D" w:rsidRDefault="0096367D" w:rsidP="0096367D">
      <w:pPr>
        <w:pStyle w:val="enumlev1"/>
      </w:pPr>
      <w:r>
        <w:t>b)</w:t>
      </w:r>
      <w:r>
        <w:tab/>
        <w:t>Antenna steering, where such capability exists in the satellite design.</w:t>
      </w:r>
    </w:p>
    <w:p w14:paraId="65982463" w14:textId="77777777" w:rsidR="0096367D" w:rsidRDefault="0096367D" w:rsidP="0096367D">
      <w:pPr>
        <w:pStyle w:val="enumlev1"/>
      </w:pPr>
      <w:r>
        <w:t>c)</w:t>
      </w:r>
      <w:r>
        <w:tab/>
        <w:t>Beamforming and/or beam nulling of the satellite antenna (</w:t>
      </w:r>
      <w:proofErr w:type="gramStart"/>
      <w:r>
        <w:t>e.g.</w:t>
      </w:r>
      <w:proofErr w:type="gramEnd"/>
      <w:r>
        <w:t> digital processing of multi</w:t>
      </w:r>
      <w:r>
        <w:noBreakHyphen/>
        <w:t>element beamforming technique, which has the capability to suppress received interference from regions on the Earth).</w:t>
      </w:r>
    </w:p>
    <w:p w14:paraId="18B8C993" w14:textId="77777777" w:rsidR="0096367D" w:rsidRDefault="0096367D" w:rsidP="0096367D">
      <w:pPr>
        <w:pStyle w:val="enumlev1"/>
      </w:pPr>
      <w:r>
        <w:t>d)</w:t>
      </w:r>
      <w:r>
        <w:tab/>
        <w:t>Dynamic frequency management paired with geographical separation (</w:t>
      </w:r>
      <w:proofErr w:type="gramStart"/>
      <w:r>
        <w:t>e.g.</w:t>
      </w:r>
      <w:proofErr w:type="gramEnd"/>
      <w:r>
        <w:t> monitoring interference in real time and dynamically assigning channels and/or beams).</w:t>
      </w:r>
    </w:p>
    <w:p w14:paraId="0419DD8E" w14:textId="77777777" w:rsidR="0096367D" w:rsidRDefault="0096367D" w:rsidP="0096367D">
      <w:pPr>
        <w:pStyle w:val="enumlev1"/>
      </w:pPr>
      <w:r>
        <w:t>e)</w:t>
      </w:r>
      <w:r>
        <w:tab/>
        <w:t>Consider reducing the power flux-density to a level sufficient for coexistence, for example to nominally −122 dBW/m</w:t>
      </w:r>
      <w:r>
        <w:rPr>
          <w:vertAlign w:val="superscript"/>
        </w:rPr>
        <w:t>2</w:t>
      </w:r>
      <w:r>
        <w:t xml:space="preserve"> for 1 MHz</w:t>
      </w:r>
      <w:r>
        <w:rPr>
          <w:rStyle w:val="FootnoteReference"/>
        </w:rPr>
        <w:footnoteReference w:customMarkFollows="1" w:id="4"/>
        <w:t>2</w:t>
      </w:r>
      <w:r>
        <w:t xml:space="preserve"> for the protection of some base stations or nominally −108.8 dBW/m</w:t>
      </w:r>
      <w:r>
        <w:rPr>
          <w:vertAlign w:val="superscript"/>
        </w:rPr>
        <w:t>2</w:t>
      </w:r>
      <w:r>
        <w:t xml:space="preserve"> for 1 MHz for the protection of some user equipment on the Earth’s surface on the territories of other administrations using this frequency band for the terrestrial IMT component.</w:t>
      </w:r>
    </w:p>
    <w:p w14:paraId="6F553932" w14:textId="77777777" w:rsidR="0096367D" w:rsidRDefault="0096367D" w:rsidP="0096367D">
      <w:pPr>
        <w:pStyle w:val="enumlev1"/>
      </w:pPr>
      <w:r>
        <w:t>f)</w:t>
      </w:r>
      <w:r>
        <w:tab/>
        <w:t>Consider an appropriate elevation angle model of an earth station and handover method by a satellite control system in the coexistence analysis.</w:t>
      </w:r>
    </w:p>
    <w:p w14:paraId="33801E3D" w14:textId="77777777" w:rsidR="0096367D" w:rsidRDefault="0096367D" w:rsidP="0096367D">
      <w:pPr>
        <w:pStyle w:val="enumlev1"/>
      </w:pPr>
      <w:r>
        <w:t>g)</w:t>
      </w:r>
      <w:r>
        <w:tab/>
        <w:t>Consider actual activity factor values, which may result in a reduction of interference.</w:t>
      </w:r>
    </w:p>
    <w:p w14:paraId="5514D35D" w14:textId="77777777" w:rsidR="0096367D" w:rsidRDefault="0096367D" w:rsidP="0096367D">
      <w:pPr>
        <w:pStyle w:val="enumlev1"/>
      </w:pPr>
      <w:r>
        <w:rPr>
          <w:lang w:eastAsia="ja-JP"/>
        </w:rPr>
        <w:t>h)</w:t>
      </w:r>
      <w:r>
        <w:rPr>
          <w:lang w:eastAsia="ja-JP"/>
        </w:rPr>
        <w:tab/>
        <w:t>Apply a polarization of the satellite antenna different from that of the terrestrial station receiver (for example, use of linear polarization by the terrestrial station receivers and circular polarization by the satellite may provide some benefit)</w:t>
      </w:r>
      <w:r>
        <w:t>.</w:t>
      </w:r>
    </w:p>
    <w:p w14:paraId="1AFD8263" w14:textId="77777777" w:rsidR="0096367D" w:rsidRDefault="0096367D" w:rsidP="0096367D">
      <w:pPr>
        <w:pStyle w:val="enumlev1"/>
      </w:pPr>
      <w:r>
        <w:t>i)</w:t>
      </w:r>
      <w:r>
        <w:tab/>
        <w:t>Implement other applicable interference mitigation techniques.</w:t>
      </w:r>
    </w:p>
    <w:p w14:paraId="0A7FBD26" w14:textId="77777777" w:rsidR="0096367D" w:rsidRDefault="0096367D" w:rsidP="0096367D">
      <w:pPr>
        <w:pStyle w:val="Reasons"/>
      </w:pPr>
    </w:p>
    <w:p w14:paraId="61882296" w14:textId="77777777" w:rsidR="0096367D" w:rsidRDefault="0096367D" w:rsidP="0096367D">
      <w:pPr>
        <w:pStyle w:val="Reasons"/>
      </w:pPr>
    </w:p>
    <w:p w14:paraId="3EA3AEC8" w14:textId="77777777" w:rsidR="0096367D" w:rsidRDefault="0096367D" w:rsidP="0096367D">
      <w:pPr>
        <w:rPr>
          <w:rFonts w:eastAsia="SimSun"/>
          <w:b/>
          <w:bCs/>
          <w:sz w:val="28"/>
          <w:szCs w:val="28"/>
          <w:u w:val="single"/>
        </w:rPr>
      </w:pPr>
    </w:p>
    <w:p w14:paraId="287503C7" w14:textId="77777777" w:rsidR="0096367D" w:rsidRDefault="0096367D" w:rsidP="0096367D">
      <w:pPr>
        <w:rPr>
          <w:rFonts w:eastAsia="SimSun"/>
          <w:b/>
          <w:bCs/>
          <w:sz w:val="28"/>
          <w:szCs w:val="28"/>
          <w:u w:val="single"/>
        </w:rPr>
      </w:pPr>
    </w:p>
    <w:p w14:paraId="2C1EA9F5" w14:textId="77777777" w:rsidR="0096367D" w:rsidRDefault="0096367D" w:rsidP="0096367D">
      <w:pPr>
        <w:rPr>
          <w:rFonts w:eastAsia="SimSun"/>
          <w:b/>
          <w:bCs/>
          <w:sz w:val="28"/>
          <w:szCs w:val="28"/>
          <w:u w:val="single"/>
        </w:rPr>
      </w:pPr>
    </w:p>
    <w:p w14:paraId="2F6AEC7A" w14:textId="77777777" w:rsidR="0096367D" w:rsidRDefault="0096367D" w:rsidP="0096367D">
      <w:pPr>
        <w:rPr>
          <w:rFonts w:eastAsia="SimSun"/>
          <w:b/>
          <w:bCs/>
          <w:sz w:val="28"/>
          <w:szCs w:val="28"/>
          <w:u w:val="single"/>
        </w:rPr>
        <w:sectPr w:rsidR="0096367D" w:rsidSect="0050189C">
          <w:pgSz w:w="11909" w:h="16834" w:code="9"/>
          <w:pgMar w:top="1195" w:right="1152" w:bottom="1138" w:left="1440" w:header="720" w:footer="720" w:gutter="0"/>
          <w:cols w:space="720"/>
          <w:titlePg/>
          <w:docGrid w:linePitch="360"/>
        </w:sectPr>
      </w:pPr>
    </w:p>
    <w:p w14:paraId="33FEE14F" w14:textId="77777777" w:rsidR="0096367D" w:rsidRPr="001E6BDA" w:rsidRDefault="0096367D" w:rsidP="0096367D">
      <w:pPr>
        <w:jc w:val="center"/>
        <w:rPr>
          <w:rFonts w:eastAsia="SimSun"/>
          <w:b/>
          <w:bCs/>
          <w:sz w:val="28"/>
          <w:szCs w:val="28"/>
          <w:u w:val="single"/>
        </w:rPr>
      </w:pPr>
      <w:r w:rsidRPr="001E6BDA">
        <w:rPr>
          <w:rFonts w:eastAsia="SimSun"/>
          <w:b/>
          <w:bCs/>
          <w:sz w:val="28"/>
          <w:szCs w:val="28"/>
          <w:u w:val="single"/>
        </w:rPr>
        <w:lastRenderedPageBreak/>
        <w:t>ATTACHMENT 2</w:t>
      </w:r>
    </w:p>
    <w:p w14:paraId="54165722" w14:textId="77777777" w:rsidR="0096367D" w:rsidRDefault="0096367D" w:rsidP="0096367D">
      <w:pPr>
        <w:jc w:val="center"/>
        <w:rPr>
          <w:rFonts w:eastAsia="SimSun"/>
        </w:rPr>
      </w:pPr>
    </w:p>
    <w:p w14:paraId="78199F78" w14:textId="77777777" w:rsidR="0096367D" w:rsidRDefault="0096367D" w:rsidP="0096367D">
      <w:pPr>
        <w:jc w:val="center"/>
        <w:rPr>
          <w:rFonts w:eastAsia="SimSun"/>
        </w:rPr>
      </w:pPr>
    </w:p>
    <w:p w14:paraId="0A07C2EC" w14:textId="77777777" w:rsidR="0096367D" w:rsidRDefault="0096367D" w:rsidP="0096367D">
      <w:pPr>
        <w:pStyle w:val="ResNo"/>
      </w:pPr>
      <w:bookmarkStart w:id="16" w:name="_Toc39649437"/>
      <w:r>
        <w:t xml:space="preserve">RESOLUTION </w:t>
      </w:r>
      <w:r>
        <w:rPr>
          <w:rStyle w:val="href"/>
        </w:rPr>
        <w:t>223</w:t>
      </w:r>
      <w:r>
        <w:t xml:space="preserve"> (REV.WRC</w:t>
      </w:r>
      <w:r>
        <w:noBreakHyphen/>
        <w:t>19)</w:t>
      </w:r>
      <w:bookmarkEnd w:id="16"/>
    </w:p>
    <w:p w14:paraId="66CD82D1" w14:textId="77777777" w:rsidR="0096367D" w:rsidRDefault="0096367D" w:rsidP="0096367D">
      <w:pPr>
        <w:pStyle w:val="Restitle"/>
        <w:rPr>
          <w:lang w:eastAsia="ja-JP"/>
        </w:rPr>
      </w:pPr>
      <w:bookmarkStart w:id="17" w:name="_Toc35789311"/>
      <w:bookmarkStart w:id="18" w:name="_Toc35857008"/>
      <w:bookmarkStart w:id="19" w:name="_Toc35877643"/>
      <w:bookmarkStart w:id="20" w:name="_Toc35963586"/>
      <w:bookmarkStart w:id="21" w:name="_Toc39649438"/>
      <w:r>
        <w:rPr>
          <w:lang w:eastAsia="ja-JP"/>
        </w:rPr>
        <w:t xml:space="preserve">Additional frequency bands identified for International </w:t>
      </w:r>
      <w:r>
        <w:rPr>
          <w:lang w:eastAsia="ja-JP"/>
        </w:rPr>
        <w:br/>
        <w:t>Mobile Telecommunications</w:t>
      </w:r>
      <w:bookmarkEnd w:id="17"/>
      <w:bookmarkEnd w:id="18"/>
      <w:bookmarkEnd w:id="19"/>
      <w:bookmarkEnd w:id="20"/>
      <w:bookmarkEnd w:id="21"/>
    </w:p>
    <w:p w14:paraId="752076C5" w14:textId="77777777" w:rsidR="0096367D" w:rsidRDefault="0096367D" w:rsidP="0096367D">
      <w:pPr>
        <w:pStyle w:val="Normalaftertitle0"/>
      </w:pPr>
      <w:r>
        <w:t>The World Radiocommunication Conference (Sharm el-Sheikh, 2019),</w:t>
      </w:r>
    </w:p>
    <w:p w14:paraId="79796484" w14:textId="77777777" w:rsidR="0096367D" w:rsidRPr="00725735" w:rsidRDefault="0096367D" w:rsidP="0096367D">
      <w:pPr>
        <w:pStyle w:val="Call"/>
      </w:pPr>
      <w:r w:rsidRPr="00725735">
        <w:t>considering</w:t>
      </w:r>
    </w:p>
    <w:p w14:paraId="41120D05" w14:textId="77777777" w:rsidR="0096367D" w:rsidRPr="00725735" w:rsidRDefault="0096367D" w:rsidP="0096367D">
      <w:r w:rsidRPr="00725735">
        <w:rPr>
          <w:i/>
          <w:color w:val="000000"/>
        </w:rPr>
        <w:t>a)</w:t>
      </w:r>
      <w:r w:rsidRPr="00725735">
        <w:rPr>
          <w:i/>
          <w:color w:val="000000"/>
        </w:rPr>
        <w:tab/>
      </w:r>
      <w:r w:rsidRPr="00725735">
        <w:t>that International Mobile Telecommunications (IMT), including IMT-2000, IMT</w:t>
      </w:r>
      <w:r w:rsidRPr="00725735">
        <w:noBreakHyphen/>
        <w:t xml:space="preserve">Advanced and IMT-2020, is the ITU vision of global mobile </w:t>
      </w:r>
      <w:proofErr w:type="gramStart"/>
      <w:r w:rsidRPr="00725735">
        <w:t>access;</w:t>
      </w:r>
      <w:proofErr w:type="gramEnd"/>
    </w:p>
    <w:p w14:paraId="6C8A5666" w14:textId="77777777" w:rsidR="0096367D" w:rsidRPr="00725735" w:rsidRDefault="0096367D" w:rsidP="0096367D">
      <w:r w:rsidRPr="00725735">
        <w:rPr>
          <w:i/>
          <w:color w:val="000000"/>
        </w:rPr>
        <w:t>b)</w:t>
      </w:r>
      <w:r w:rsidRPr="00725735">
        <w:rPr>
          <w:i/>
          <w:color w:val="000000"/>
        </w:rPr>
        <w:tab/>
      </w:r>
      <w:r w:rsidRPr="00725735">
        <w:t xml:space="preserve">that IMT systems provide telecommunication services on a worldwide scale regardless of location, network or terminal </w:t>
      </w:r>
      <w:proofErr w:type="gramStart"/>
      <w:r w:rsidRPr="00725735">
        <w:t>used;</w:t>
      </w:r>
      <w:proofErr w:type="gramEnd"/>
    </w:p>
    <w:p w14:paraId="1221823D" w14:textId="77777777" w:rsidR="0096367D" w:rsidRPr="00725735" w:rsidRDefault="0096367D" w:rsidP="0096367D">
      <w:r w:rsidRPr="00725735">
        <w:rPr>
          <w:i/>
        </w:rPr>
        <w:t>c)</w:t>
      </w:r>
      <w:r w:rsidRPr="00725735">
        <w:rPr>
          <w:i/>
        </w:rPr>
        <w:tab/>
      </w:r>
      <w:r w:rsidRPr="00725735">
        <w:t>that IMT provides access to a wide range of telecommunication services supported by fixed telecommunication networks (</w:t>
      </w:r>
      <w:proofErr w:type="gramStart"/>
      <w:r w:rsidRPr="00725735">
        <w:t>e.g.</w:t>
      </w:r>
      <w:proofErr w:type="gramEnd"/>
      <w:r w:rsidRPr="00725735">
        <w:t> public switched telephone network (PSTN)/integrated services digital network (ISDN)</w:t>
      </w:r>
      <w:r w:rsidRPr="00725735">
        <w:rPr>
          <w:rFonts w:eastAsia="바탕"/>
          <w:lang w:eastAsia="ko-KR"/>
        </w:rPr>
        <w:t>, high bit rate Internet access</w:t>
      </w:r>
      <w:r w:rsidRPr="00725735">
        <w:t>), and to other services which are specific to mobile users;</w:t>
      </w:r>
    </w:p>
    <w:p w14:paraId="2A8E2951" w14:textId="77777777" w:rsidR="0096367D" w:rsidRDefault="0096367D" w:rsidP="0096367D">
      <w:r w:rsidRPr="00725735">
        <w:rPr>
          <w:i/>
        </w:rPr>
        <w:t>d)</w:t>
      </w:r>
      <w:r w:rsidRPr="00725735">
        <w:rPr>
          <w:i/>
        </w:rPr>
        <w:tab/>
      </w:r>
      <w:r w:rsidRPr="00725735">
        <w:t>that the technical characteristics of IMT are specified in ITU Radiocommunication Sector (ITU</w:t>
      </w:r>
      <w:r w:rsidRPr="00725735">
        <w:noBreakHyphen/>
        <w:t>R) and ITU Telecommunication Standardization Sector (ITU</w:t>
      </w:r>
      <w:r w:rsidRPr="00725735">
        <w:noBreakHyphen/>
        <w:t>T) Recommendations, including Recommendations ITU</w:t>
      </w:r>
      <w:r w:rsidRPr="00725735">
        <w:noBreakHyphen/>
        <w:t>R M.1457 and ITU</w:t>
      </w:r>
      <w:r w:rsidRPr="00725735">
        <w:noBreakHyphen/>
        <w:t>R M.2012, which</w:t>
      </w:r>
      <w:r>
        <w:t xml:space="preserve"> contain the detailed specifications of the terrestrial radio interfaces of </w:t>
      </w:r>
      <w:proofErr w:type="gramStart"/>
      <w:r>
        <w:t>IMT;</w:t>
      </w:r>
      <w:proofErr w:type="gramEnd"/>
    </w:p>
    <w:p w14:paraId="2AD3C305" w14:textId="77777777" w:rsidR="0096367D" w:rsidRDefault="0096367D" w:rsidP="0096367D">
      <w:pPr>
        <w:rPr>
          <w:rFonts w:eastAsia="???"/>
        </w:rPr>
      </w:pPr>
      <w:r>
        <w:rPr>
          <w:rFonts w:eastAsia="???"/>
          <w:i/>
          <w:iCs/>
        </w:rPr>
        <w:t>e)</w:t>
      </w:r>
      <w:r>
        <w:rPr>
          <w:rFonts w:eastAsia="???"/>
        </w:rPr>
        <w:tab/>
        <w:t>that the evolution of IMT is being studied within ITU</w:t>
      </w:r>
      <w:r>
        <w:rPr>
          <w:rFonts w:eastAsia="???"/>
        </w:rPr>
        <w:noBreakHyphen/>
      </w:r>
      <w:proofErr w:type="gramStart"/>
      <w:r>
        <w:rPr>
          <w:rFonts w:eastAsia="???"/>
        </w:rPr>
        <w:t>R;</w:t>
      </w:r>
      <w:proofErr w:type="gramEnd"/>
    </w:p>
    <w:p w14:paraId="18ED724E" w14:textId="77777777" w:rsidR="0096367D" w:rsidRDefault="0096367D" w:rsidP="0096367D">
      <w:pPr>
        <w:rPr>
          <w:rFonts w:eastAsia="???"/>
        </w:rPr>
      </w:pPr>
      <w:r>
        <w:rPr>
          <w:i/>
          <w:iCs/>
        </w:rPr>
        <w:t>f)</w:t>
      </w:r>
      <w:r>
        <w:tab/>
        <w:t>that the review of IMT-2000 spectrum requirements at WRC</w:t>
      </w:r>
      <w:r>
        <w:noBreakHyphen/>
        <w:t>2000 concentrated on the frequency bands below 3 </w:t>
      </w:r>
      <w:proofErr w:type="gramStart"/>
      <w:r>
        <w:t>GHz;</w:t>
      </w:r>
      <w:proofErr w:type="gramEnd"/>
    </w:p>
    <w:p w14:paraId="6846EBDB" w14:textId="77777777" w:rsidR="0096367D" w:rsidRDefault="0096367D" w:rsidP="0096367D">
      <w:pPr>
        <w:rPr>
          <w:rFonts w:eastAsia="???"/>
        </w:rPr>
      </w:pPr>
      <w:r>
        <w:rPr>
          <w:rFonts w:eastAsia="???"/>
          <w:i/>
          <w:iCs/>
        </w:rPr>
        <w:t>g)</w:t>
      </w:r>
      <w:r>
        <w:rPr>
          <w:rFonts w:eastAsia="???"/>
        </w:rPr>
        <w:tab/>
        <w:t>that at WARC</w:t>
      </w:r>
      <w:r>
        <w:rPr>
          <w:rFonts w:eastAsia="???"/>
        </w:rPr>
        <w:noBreakHyphen/>
        <w:t>92, 230 MHz of spectrum was identified for IMT-2000 in the frequency bands 1 885-2 025 MHz and 2 110-2 200 MHz, including the</w:t>
      </w:r>
      <w:r>
        <w:t xml:space="preserve"> frequency</w:t>
      </w:r>
      <w:r>
        <w:rPr>
          <w:rFonts w:eastAsia="???"/>
        </w:rPr>
        <w:t xml:space="preserve"> bands 1 980-2 010 MHz and 2 170-2 200 MHz for the satellite component of IMT-2000, in No. </w:t>
      </w:r>
      <w:r w:rsidRPr="00BB4957">
        <w:rPr>
          <w:rStyle w:val="Artref"/>
          <w:rFonts w:eastAsia="???"/>
          <w:b/>
          <w:bCs/>
          <w:color w:val="000000"/>
        </w:rPr>
        <w:t>5.388</w:t>
      </w:r>
      <w:r>
        <w:rPr>
          <w:rFonts w:eastAsia="???"/>
        </w:rPr>
        <w:t xml:space="preserve"> and under the provisions of Resolution </w:t>
      </w:r>
      <w:r>
        <w:rPr>
          <w:rFonts w:eastAsia="???"/>
          <w:b/>
        </w:rPr>
        <w:t>212</w:t>
      </w:r>
      <w:r>
        <w:rPr>
          <w:rFonts w:eastAsia="???"/>
          <w:b/>
          <w:color w:val="000000"/>
        </w:rPr>
        <w:t xml:space="preserve"> (Rev.WRC</w:t>
      </w:r>
      <w:r>
        <w:rPr>
          <w:rFonts w:eastAsia="???"/>
          <w:b/>
          <w:color w:val="000000"/>
        </w:rPr>
        <w:noBreakHyphen/>
        <w:t>19</w:t>
      </w:r>
      <w:proofErr w:type="gramStart"/>
      <w:r>
        <w:rPr>
          <w:rFonts w:eastAsia="???"/>
          <w:b/>
          <w:color w:val="000000"/>
        </w:rPr>
        <w:t>)</w:t>
      </w:r>
      <w:r>
        <w:rPr>
          <w:rFonts w:eastAsia="???"/>
          <w:bCs/>
        </w:rPr>
        <w:t>;</w:t>
      </w:r>
      <w:proofErr w:type="gramEnd"/>
    </w:p>
    <w:p w14:paraId="03D32261" w14:textId="77777777" w:rsidR="0096367D" w:rsidRDefault="0096367D" w:rsidP="0096367D">
      <w:pPr>
        <w:rPr>
          <w:rFonts w:eastAsia="???"/>
        </w:rPr>
      </w:pPr>
      <w:r>
        <w:rPr>
          <w:rFonts w:eastAsia="???"/>
          <w:i/>
          <w:iCs/>
        </w:rPr>
        <w:t>h)</w:t>
      </w:r>
      <w:r>
        <w:rPr>
          <w:rFonts w:eastAsia="???"/>
        </w:rPr>
        <w:tab/>
        <w:t>that since WARC</w:t>
      </w:r>
      <w:r>
        <w:rPr>
          <w:rFonts w:eastAsia="???"/>
        </w:rPr>
        <w:noBreakHyphen/>
        <w:t xml:space="preserve">92 there has been a tremendous growth in mobile communications including an increasing demand for broadband multimedia </w:t>
      </w:r>
      <w:proofErr w:type="gramStart"/>
      <w:r>
        <w:rPr>
          <w:rFonts w:eastAsia="???"/>
        </w:rPr>
        <w:t>capability;</w:t>
      </w:r>
      <w:proofErr w:type="gramEnd"/>
    </w:p>
    <w:p w14:paraId="55DA9357" w14:textId="77777777" w:rsidR="0096367D" w:rsidRDefault="0096367D" w:rsidP="0096367D">
      <w:r>
        <w:rPr>
          <w:i/>
          <w:iCs/>
        </w:rPr>
        <w:t>i)</w:t>
      </w:r>
      <w:r>
        <w:tab/>
        <w:t xml:space="preserve">that the frequency bands identified for IMT are currently used by mobile systems or applications of other radiocommunication </w:t>
      </w:r>
      <w:proofErr w:type="gramStart"/>
      <w:r>
        <w:t>services;</w:t>
      </w:r>
      <w:proofErr w:type="gramEnd"/>
    </w:p>
    <w:p w14:paraId="3D5361F9" w14:textId="77777777" w:rsidR="0096367D" w:rsidRDefault="0096367D" w:rsidP="0096367D">
      <w:pPr>
        <w:rPr>
          <w:rFonts w:eastAsia="???"/>
        </w:rPr>
      </w:pPr>
      <w:r>
        <w:rPr>
          <w:rFonts w:eastAsia="???"/>
          <w:i/>
          <w:iCs/>
        </w:rPr>
        <w:t>j)</w:t>
      </w:r>
      <w:r>
        <w:rPr>
          <w:rFonts w:eastAsia="???"/>
          <w:i/>
          <w:iCs/>
        </w:rPr>
        <w:tab/>
      </w:r>
      <w:r>
        <w:rPr>
          <w:rFonts w:eastAsia="???"/>
        </w:rPr>
        <w:t>that Recommendation ITU</w:t>
      </w:r>
      <w:r>
        <w:rPr>
          <w:rFonts w:eastAsia="???"/>
        </w:rPr>
        <w:noBreakHyphen/>
        <w:t>R M.1308 addresses the evolution of existing mobile communication systems to IMT-2000, and that Recommendation ITU</w:t>
      </w:r>
      <w:r>
        <w:rPr>
          <w:rFonts w:eastAsia="???"/>
        </w:rPr>
        <w:noBreakHyphen/>
        <w:t xml:space="preserve">R M.1645 addresses the evolution of the IMT systems and maps out their future </w:t>
      </w:r>
      <w:proofErr w:type="gramStart"/>
      <w:r>
        <w:rPr>
          <w:rFonts w:eastAsia="???"/>
        </w:rPr>
        <w:t>development;</w:t>
      </w:r>
      <w:proofErr w:type="gramEnd"/>
    </w:p>
    <w:p w14:paraId="42E2607A" w14:textId="77777777" w:rsidR="0096367D" w:rsidRDefault="0096367D" w:rsidP="0096367D">
      <w:r>
        <w:rPr>
          <w:i/>
          <w:iCs/>
        </w:rPr>
        <w:t>k)</w:t>
      </w:r>
      <w:r>
        <w:tab/>
        <w:t xml:space="preserve">that harmonized worldwide frequency bands for IMT are desirable in order to achieve global roaming and the benefits of economies of </w:t>
      </w:r>
      <w:proofErr w:type="gramStart"/>
      <w:r>
        <w:t>scale;</w:t>
      </w:r>
      <w:proofErr w:type="gramEnd"/>
    </w:p>
    <w:p w14:paraId="019C0C0E" w14:textId="77777777" w:rsidR="0096367D" w:rsidRDefault="0096367D" w:rsidP="0096367D">
      <w:r>
        <w:rPr>
          <w:i/>
          <w:iCs/>
        </w:rPr>
        <w:t>l)</w:t>
      </w:r>
      <w:r>
        <w:tab/>
        <w:t xml:space="preserve">that the frequency bands 1 710-1 885 MHz, 2 500-2 690 MHz and 3 300-3 400 MHz are allocated to a variety of services in accordance with the relevant provisions of the Radio </w:t>
      </w:r>
      <w:proofErr w:type="gramStart"/>
      <w:r>
        <w:t>Regulations;</w:t>
      </w:r>
      <w:proofErr w:type="gramEnd"/>
    </w:p>
    <w:p w14:paraId="0CD01DA3" w14:textId="77777777" w:rsidR="0096367D" w:rsidRDefault="0096367D" w:rsidP="0096367D">
      <w:pPr>
        <w:rPr>
          <w:rFonts w:eastAsia="바탕"/>
          <w:lang w:eastAsia="ko-KR"/>
        </w:rPr>
      </w:pPr>
      <w:r>
        <w:rPr>
          <w:rFonts w:eastAsia="바탕"/>
          <w:i/>
          <w:lang w:eastAsia="ko-KR"/>
        </w:rPr>
        <w:t>m)</w:t>
      </w:r>
      <w:r>
        <w:rPr>
          <w:rFonts w:eastAsia="바탕"/>
          <w:lang w:eastAsia="ko-KR"/>
        </w:rPr>
        <w:tab/>
        <w:t xml:space="preserve">that the </w:t>
      </w:r>
      <w:r>
        <w:t xml:space="preserve">frequency </w:t>
      </w:r>
      <w:r>
        <w:rPr>
          <w:rFonts w:eastAsia="바탕"/>
        </w:rPr>
        <w:t>band 2 300-2 400 MHz</w:t>
      </w:r>
      <w:r>
        <w:t xml:space="preserve"> is allocated to the mobile service on a co</w:t>
      </w:r>
      <w:r>
        <w:noBreakHyphen/>
        <w:t xml:space="preserve">primary basis in the three ITU </w:t>
      </w:r>
      <w:proofErr w:type="gramStart"/>
      <w:r>
        <w:t>Regions</w:t>
      </w:r>
      <w:r>
        <w:rPr>
          <w:rFonts w:eastAsia="바탕"/>
          <w:lang w:eastAsia="ko-KR"/>
        </w:rPr>
        <w:t>;</w:t>
      </w:r>
      <w:proofErr w:type="gramEnd"/>
    </w:p>
    <w:p w14:paraId="270DB4A2" w14:textId="77777777" w:rsidR="0096367D" w:rsidRDefault="0096367D" w:rsidP="0096367D">
      <w:pPr>
        <w:rPr>
          <w:rFonts w:eastAsia="바탕"/>
          <w:lang w:eastAsia="ko-KR"/>
        </w:rPr>
      </w:pPr>
      <w:r>
        <w:rPr>
          <w:rFonts w:eastAsia="바탕"/>
          <w:i/>
          <w:lang w:eastAsia="ko-KR"/>
        </w:rPr>
        <w:t>n)</w:t>
      </w:r>
      <w:r>
        <w:rPr>
          <w:rFonts w:eastAsia="바탕"/>
          <w:lang w:eastAsia="ko-KR"/>
        </w:rPr>
        <w:tab/>
        <w:t>that the</w:t>
      </w:r>
      <w:r>
        <w:t xml:space="preserve"> frequency</w:t>
      </w:r>
      <w:r>
        <w:rPr>
          <w:rFonts w:eastAsia="바탕"/>
          <w:lang w:eastAsia="ko-KR"/>
        </w:rPr>
        <w:t xml:space="preserve"> ba</w:t>
      </w:r>
      <w:r>
        <w:rPr>
          <w:rFonts w:eastAsia="바탕"/>
        </w:rPr>
        <w:t>nd 2 300-2 400 MHz, or p</w:t>
      </w:r>
      <w:r>
        <w:rPr>
          <w:rFonts w:eastAsia="바탕"/>
          <w:lang w:eastAsia="ko-KR"/>
        </w:rPr>
        <w:t xml:space="preserve">ortions thereof, is used extensively in a number of administrations by other services including the aeronautical mobile service (AMS) for telemetry in accordance with the relevant provisions in the Radio </w:t>
      </w:r>
      <w:proofErr w:type="gramStart"/>
      <w:r>
        <w:rPr>
          <w:rFonts w:eastAsia="바탕"/>
          <w:lang w:eastAsia="ko-KR"/>
        </w:rPr>
        <w:t>Regulations;</w:t>
      </w:r>
      <w:proofErr w:type="gramEnd"/>
    </w:p>
    <w:p w14:paraId="53D76A17" w14:textId="77777777" w:rsidR="0096367D" w:rsidRDefault="0096367D" w:rsidP="0096367D">
      <w:pPr>
        <w:rPr>
          <w:rFonts w:eastAsia="바탕"/>
          <w:lang w:eastAsia="ko-KR"/>
        </w:rPr>
      </w:pPr>
      <w:r>
        <w:rPr>
          <w:rFonts w:eastAsia="바탕"/>
          <w:i/>
          <w:lang w:eastAsia="ko-KR"/>
        </w:rPr>
        <w:t>o)</w:t>
      </w:r>
      <w:r>
        <w:rPr>
          <w:rFonts w:eastAsia="바탕"/>
          <w:i/>
          <w:lang w:eastAsia="ko-KR"/>
        </w:rPr>
        <w:tab/>
      </w:r>
      <w:r>
        <w:rPr>
          <w:rFonts w:eastAsia="바탕"/>
          <w:lang w:eastAsia="ko-KR"/>
        </w:rPr>
        <w:t xml:space="preserve">that IMT has already been deployed or is being considered for deployment in some countries in the </w:t>
      </w:r>
      <w:r>
        <w:t xml:space="preserve">frequency </w:t>
      </w:r>
      <w:r>
        <w:rPr>
          <w:rFonts w:eastAsia="바탕"/>
          <w:lang w:eastAsia="ko-KR"/>
        </w:rPr>
        <w:t>ban</w:t>
      </w:r>
      <w:r>
        <w:rPr>
          <w:rFonts w:eastAsia="바탕"/>
        </w:rPr>
        <w:t>ds 1 710-1 885 MHz, 2 300-2 400 MHz and 2 500-2 690 MHz and equip</w:t>
      </w:r>
      <w:r>
        <w:rPr>
          <w:rFonts w:eastAsia="바탕"/>
          <w:lang w:eastAsia="ko-KR"/>
        </w:rPr>
        <w:t xml:space="preserve">ment is readily </w:t>
      </w:r>
      <w:proofErr w:type="gramStart"/>
      <w:r>
        <w:rPr>
          <w:rFonts w:eastAsia="바탕"/>
          <w:lang w:eastAsia="ko-KR"/>
        </w:rPr>
        <w:t>available;</w:t>
      </w:r>
      <w:proofErr w:type="gramEnd"/>
    </w:p>
    <w:p w14:paraId="0A0DD9E3" w14:textId="77777777" w:rsidR="0096367D" w:rsidRDefault="0096367D" w:rsidP="0096367D">
      <w:r>
        <w:rPr>
          <w:i/>
        </w:rPr>
        <w:t>p)</w:t>
      </w:r>
      <w:r>
        <w:tab/>
      </w:r>
      <w:r>
        <w:rPr>
          <w:rFonts w:eastAsia="바탕"/>
          <w:lang w:eastAsia="ko-KR"/>
        </w:rPr>
        <w:t xml:space="preserve">that </w:t>
      </w:r>
      <w:r>
        <w:t>the frequency bands 1 710-1 885 MHz, 2 300-2 400 MHz and 2 500-2 690 MHz, or parts thereof, are identified for use by administrations wishing to implement </w:t>
      </w:r>
      <w:proofErr w:type="gramStart"/>
      <w:r>
        <w:t>IMT;</w:t>
      </w:r>
      <w:proofErr w:type="gramEnd"/>
    </w:p>
    <w:p w14:paraId="506C91A9" w14:textId="77777777" w:rsidR="0096367D" w:rsidRDefault="0096367D" w:rsidP="0096367D">
      <w:r>
        <w:rPr>
          <w:i/>
          <w:iCs/>
        </w:rPr>
        <w:lastRenderedPageBreak/>
        <w:t>q)</w:t>
      </w:r>
      <w:r>
        <w:tab/>
        <w:t xml:space="preserve">that technological advancement and user needs will promote innovation and accelerate the delivery of advanced communication applications to </w:t>
      </w:r>
      <w:proofErr w:type="gramStart"/>
      <w:r>
        <w:t>consumers;</w:t>
      </w:r>
      <w:proofErr w:type="gramEnd"/>
    </w:p>
    <w:p w14:paraId="701CE313" w14:textId="77777777" w:rsidR="0096367D" w:rsidRDefault="0096367D" w:rsidP="0096367D">
      <w:r>
        <w:rPr>
          <w:i/>
          <w:iCs/>
        </w:rPr>
        <w:t>r)</w:t>
      </w:r>
      <w:r>
        <w:tab/>
        <w:t>that changes in technology may lead to the further development of communication applications, including </w:t>
      </w:r>
      <w:proofErr w:type="gramStart"/>
      <w:r>
        <w:t>IMT;</w:t>
      </w:r>
      <w:proofErr w:type="gramEnd"/>
    </w:p>
    <w:p w14:paraId="1F403236" w14:textId="77777777" w:rsidR="0096367D" w:rsidRDefault="0096367D" w:rsidP="0096367D">
      <w:pPr>
        <w:rPr>
          <w:rFonts w:eastAsia="바탕"/>
          <w:color w:val="000000"/>
          <w:lang w:eastAsia="ko-KR"/>
        </w:rPr>
      </w:pPr>
      <w:r>
        <w:rPr>
          <w:rFonts w:eastAsia="바탕"/>
          <w:i/>
          <w:color w:val="000000"/>
          <w:lang w:eastAsia="ko-KR"/>
        </w:rPr>
        <w:t>s)</w:t>
      </w:r>
      <w:r>
        <w:rPr>
          <w:rFonts w:eastAsia="바탕"/>
          <w:color w:val="000000"/>
          <w:lang w:eastAsia="ko-KR"/>
        </w:rPr>
        <w:tab/>
        <w:t xml:space="preserve">that timely availability of spectrum is important to support future </w:t>
      </w:r>
      <w:proofErr w:type="gramStart"/>
      <w:r>
        <w:rPr>
          <w:rFonts w:eastAsia="바탕"/>
          <w:color w:val="000000"/>
          <w:lang w:eastAsia="ko-KR"/>
        </w:rPr>
        <w:t>applications;</w:t>
      </w:r>
      <w:proofErr w:type="gramEnd"/>
    </w:p>
    <w:p w14:paraId="7CD30114" w14:textId="77777777" w:rsidR="0096367D" w:rsidRDefault="0096367D" w:rsidP="0096367D">
      <w:r>
        <w:rPr>
          <w:i/>
          <w:iCs/>
          <w:color w:val="000000"/>
        </w:rPr>
        <w:t>t</w:t>
      </w:r>
      <w:r>
        <w:rPr>
          <w:i/>
          <w:color w:val="000000"/>
        </w:rPr>
        <w:t>)</w:t>
      </w:r>
      <w:r>
        <w:rPr>
          <w:i/>
          <w:color w:val="000000"/>
        </w:rPr>
        <w:tab/>
      </w:r>
      <w:r>
        <w:t xml:space="preserve">that IMT systems are envisaged to provide increased peak data rates and capacity that may require a larger </w:t>
      </w:r>
      <w:proofErr w:type="gramStart"/>
      <w:r>
        <w:t>bandwidth;</w:t>
      </w:r>
      <w:proofErr w:type="gramEnd"/>
    </w:p>
    <w:p w14:paraId="45DD56B3" w14:textId="77777777" w:rsidR="0096367D" w:rsidRDefault="0096367D" w:rsidP="0096367D">
      <w:r>
        <w:rPr>
          <w:i/>
          <w:iCs/>
          <w:color w:val="000000"/>
        </w:rPr>
        <w:t>u</w:t>
      </w:r>
      <w:r>
        <w:rPr>
          <w:i/>
          <w:color w:val="000000"/>
        </w:rPr>
        <w:t>)</w:t>
      </w:r>
      <w:r>
        <w:tab/>
        <w:t>that ITU</w:t>
      </w:r>
      <w:r>
        <w:noBreakHyphen/>
        <w:t xml:space="preserve">R studies forecasted that additional spectrum may be required to support the future services of IMT and to accommodate future user requirements and network </w:t>
      </w:r>
      <w:proofErr w:type="gramStart"/>
      <w:r>
        <w:t>deployments;</w:t>
      </w:r>
      <w:proofErr w:type="gramEnd"/>
    </w:p>
    <w:p w14:paraId="5753E35F" w14:textId="77777777" w:rsidR="0096367D" w:rsidRDefault="0096367D" w:rsidP="0096367D">
      <w:pPr>
        <w:rPr>
          <w:lang w:eastAsia="ja-JP"/>
        </w:rPr>
      </w:pPr>
      <w:r>
        <w:rPr>
          <w:i/>
          <w:lang w:eastAsia="ja-JP"/>
        </w:rPr>
        <w:t>v)</w:t>
      </w:r>
      <w:r>
        <w:rPr>
          <w:lang w:eastAsia="ja-JP"/>
        </w:rPr>
        <w:tab/>
        <w:t xml:space="preserve">that the frequency band 1 427-1 429 MHz is allocated to the mobile, except aeronautical mobile, service in all three Regions on a primary </w:t>
      </w:r>
      <w:proofErr w:type="gramStart"/>
      <w:r>
        <w:rPr>
          <w:lang w:eastAsia="ja-JP"/>
        </w:rPr>
        <w:t>basis;</w:t>
      </w:r>
      <w:proofErr w:type="gramEnd"/>
    </w:p>
    <w:p w14:paraId="4846A541" w14:textId="77777777" w:rsidR="0096367D" w:rsidRDefault="0096367D" w:rsidP="0096367D">
      <w:pPr>
        <w:rPr>
          <w:lang w:eastAsia="ja-JP"/>
        </w:rPr>
      </w:pPr>
      <w:r>
        <w:rPr>
          <w:i/>
          <w:lang w:eastAsia="ja-JP"/>
        </w:rPr>
        <w:t>w)</w:t>
      </w:r>
      <w:r>
        <w:rPr>
          <w:lang w:eastAsia="ja-JP"/>
        </w:rPr>
        <w:tab/>
        <w:t xml:space="preserve">that the frequency band 1 429-1 525 MHz is allocated to the mobile service in </w:t>
      </w:r>
      <w:proofErr w:type="gramStart"/>
      <w:r>
        <w:rPr>
          <w:lang w:eastAsia="ja-JP"/>
        </w:rPr>
        <w:t>Regions</w:t>
      </w:r>
      <w:proofErr w:type="gramEnd"/>
      <w:r>
        <w:rPr>
          <w:lang w:eastAsia="ja-JP"/>
        </w:rPr>
        <w:t> 2 and 3 and to the mobile, except aeronautical mobile, service in Region 1 on a primary basis;</w:t>
      </w:r>
    </w:p>
    <w:p w14:paraId="593E7E1C" w14:textId="77777777" w:rsidR="0096367D" w:rsidRDefault="0096367D" w:rsidP="0096367D">
      <w:pPr>
        <w:rPr>
          <w:lang w:eastAsia="ja-JP"/>
        </w:rPr>
      </w:pPr>
      <w:r>
        <w:rPr>
          <w:i/>
          <w:lang w:eastAsia="ja-JP"/>
        </w:rPr>
        <w:t>x)</w:t>
      </w:r>
      <w:r>
        <w:rPr>
          <w:lang w:eastAsia="ja-JP"/>
        </w:rPr>
        <w:tab/>
        <w:t>that the frequency band 1 518-1 559 MHz is allocated in all three Regions to the mobile-satellite service (MSS) on a primary basis</w:t>
      </w:r>
      <w:r>
        <w:rPr>
          <w:rStyle w:val="FootnoteReference"/>
          <w:lang w:eastAsia="ja-JP"/>
        </w:rPr>
        <w:footnoteReference w:customMarkFollows="1" w:id="5"/>
        <w:t>1</w:t>
      </w:r>
      <w:r>
        <w:rPr>
          <w:lang w:eastAsia="ja-JP"/>
        </w:rPr>
        <w:t>;</w:t>
      </w:r>
    </w:p>
    <w:p w14:paraId="4D78EDA9" w14:textId="77777777" w:rsidR="0096367D" w:rsidRDefault="0096367D" w:rsidP="0096367D">
      <w:pPr>
        <w:rPr>
          <w:lang w:eastAsia="ja-JP"/>
        </w:rPr>
      </w:pPr>
      <w:r>
        <w:rPr>
          <w:i/>
          <w:iCs/>
          <w:lang w:eastAsia="ja-JP"/>
        </w:rPr>
        <w:t>y)</w:t>
      </w:r>
      <w:r>
        <w:rPr>
          <w:lang w:eastAsia="ja-JP"/>
        </w:rPr>
        <w:tab/>
        <w:t xml:space="preserve">that WRC-15 identified the frequency band 1 427-1 518 MHz for use by administrations wishing to implement terrestrial IMT </w:t>
      </w:r>
      <w:proofErr w:type="gramStart"/>
      <w:r>
        <w:rPr>
          <w:lang w:eastAsia="ja-JP"/>
        </w:rPr>
        <w:t>systems;</w:t>
      </w:r>
      <w:proofErr w:type="gramEnd"/>
    </w:p>
    <w:p w14:paraId="33423F0B" w14:textId="77777777" w:rsidR="0096367D" w:rsidRDefault="0096367D" w:rsidP="0096367D">
      <w:r>
        <w:rPr>
          <w:i/>
        </w:rPr>
        <w:t>z)</w:t>
      </w:r>
      <w:r>
        <w:tab/>
        <w:t xml:space="preserve">that there is a need to ensure the continued operations of the MSS in the </w:t>
      </w:r>
      <w:r>
        <w:rPr>
          <w:lang w:eastAsia="ja-JP"/>
        </w:rPr>
        <w:t xml:space="preserve">frequency </w:t>
      </w:r>
      <w:r>
        <w:t>band 1 518</w:t>
      </w:r>
      <w:r>
        <w:noBreakHyphen/>
        <w:t>1 525</w:t>
      </w:r>
      <w:r>
        <w:rPr>
          <w:lang w:eastAsia="ja-JP"/>
        </w:rPr>
        <w:t> </w:t>
      </w:r>
      <w:proofErr w:type="gramStart"/>
      <w:r>
        <w:t>MHz;</w:t>
      </w:r>
      <w:proofErr w:type="gramEnd"/>
    </w:p>
    <w:p w14:paraId="0F7949E3" w14:textId="77777777" w:rsidR="0096367D" w:rsidRDefault="0096367D" w:rsidP="0096367D">
      <w:pPr>
        <w:rPr>
          <w:lang w:eastAsia="ja-JP"/>
        </w:rPr>
      </w:pPr>
      <w:r>
        <w:rPr>
          <w:i/>
        </w:rPr>
        <w:t>aa)</w:t>
      </w:r>
      <w:r>
        <w:tab/>
        <w:t>that appropriate technical measures to facilitate adjacent frequency band compatibility between the MSS in the frequency band 1</w:t>
      </w:r>
      <w:r>
        <w:rPr>
          <w:lang w:eastAsia="ja-JP"/>
        </w:rPr>
        <w:t> </w:t>
      </w:r>
      <w:r>
        <w:t>518-1</w:t>
      </w:r>
      <w:r>
        <w:rPr>
          <w:lang w:eastAsia="ja-JP"/>
        </w:rPr>
        <w:t> </w:t>
      </w:r>
      <w:r>
        <w:t>525</w:t>
      </w:r>
      <w:r>
        <w:rPr>
          <w:lang w:eastAsia="ja-JP"/>
        </w:rPr>
        <w:t> </w:t>
      </w:r>
      <w:r>
        <w:t>MHz and IMT in the frequency band 1 492</w:t>
      </w:r>
      <w:r>
        <w:noBreakHyphen/>
        <w:t xml:space="preserve">1 518 MHz need to be </w:t>
      </w:r>
      <w:proofErr w:type="gramStart"/>
      <w:r>
        <w:t>studied</w:t>
      </w:r>
      <w:r>
        <w:rPr>
          <w:lang w:eastAsia="ja-JP"/>
        </w:rPr>
        <w:t>;</w:t>
      </w:r>
      <w:proofErr w:type="gramEnd"/>
    </w:p>
    <w:p w14:paraId="3B14487B" w14:textId="77777777" w:rsidR="0096367D" w:rsidRDefault="0096367D" w:rsidP="0096367D">
      <w:r>
        <w:rPr>
          <w:i/>
        </w:rPr>
        <w:t>ab)</w:t>
      </w:r>
      <w:r>
        <w:tab/>
        <w:t>Report ITU</w:t>
      </w:r>
      <w:r>
        <w:noBreakHyphen/>
        <w:t>R RA.2332, on compatibility and sharing studies between the radio astronomy service and IMT systems in the frequency bands 608-614 MHz, 1 330-1 400 MHz, 1 400</w:t>
      </w:r>
      <w:r>
        <w:noBreakHyphen/>
        <w:t>1 427 MHz, 1 610.6-1 613.8 MHz, 1 660-1 670 MHz, 2 690-2 700 MHz, 4 800-4 990 MHz and 4 990</w:t>
      </w:r>
      <w:r>
        <w:noBreakHyphen/>
        <w:t>5 000 </w:t>
      </w:r>
      <w:proofErr w:type="gramStart"/>
      <w:r>
        <w:t>MHz;</w:t>
      </w:r>
      <w:proofErr w:type="gramEnd"/>
    </w:p>
    <w:p w14:paraId="2CE10643" w14:textId="77777777" w:rsidR="0096367D" w:rsidRDefault="0096367D" w:rsidP="0096367D">
      <w:pPr>
        <w:rPr>
          <w:i/>
        </w:rPr>
      </w:pPr>
      <w:r>
        <w:rPr>
          <w:i/>
        </w:rPr>
        <w:t>ac)</w:t>
      </w:r>
      <w:r>
        <w:tab/>
        <w:t xml:space="preserve">that WRC-15 and this conference identified the </w:t>
      </w:r>
      <w:r>
        <w:rPr>
          <w:lang w:eastAsia="ja-JP"/>
        </w:rPr>
        <w:t xml:space="preserve">frequency </w:t>
      </w:r>
      <w:r>
        <w:t>band 3 300-3 400 MHz for use by administrations wishing to implement terrestrial IMT systems in Nos. </w:t>
      </w:r>
      <w:r>
        <w:rPr>
          <w:b/>
          <w:bCs/>
        </w:rPr>
        <w:t>5.429B</w:t>
      </w:r>
      <w:r>
        <w:t xml:space="preserve">, </w:t>
      </w:r>
      <w:r>
        <w:rPr>
          <w:b/>
          <w:bCs/>
        </w:rPr>
        <w:t>5.429D</w:t>
      </w:r>
      <w:r>
        <w:t xml:space="preserve"> and </w:t>
      </w:r>
      <w:r>
        <w:rPr>
          <w:b/>
          <w:bCs/>
        </w:rPr>
        <w:t>5.</w:t>
      </w:r>
      <w:proofErr w:type="gramStart"/>
      <w:r>
        <w:rPr>
          <w:b/>
          <w:bCs/>
        </w:rPr>
        <w:t>429F</w:t>
      </w:r>
      <w:r>
        <w:t>;</w:t>
      </w:r>
      <w:proofErr w:type="gramEnd"/>
    </w:p>
    <w:p w14:paraId="4FB9F388" w14:textId="77777777" w:rsidR="0096367D" w:rsidRDefault="0096367D" w:rsidP="0096367D">
      <w:r>
        <w:rPr>
          <w:i/>
        </w:rPr>
        <w:t>ad)</w:t>
      </w:r>
      <w:r>
        <w:tab/>
        <w:t xml:space="preserve">that the </w:t>
      </w:r>
      <w:r>
        <w:rPr>
          <w:lang w:eastAsia="ja-JP"/>
        </w:rPr>
        <w:t xml:space="preserve">frequency </w:t>
      </w:r>
      <w:r>
        <w:t xml:space="preserve">band 3 300-3 400 MHz is allocated </w:t>
      </w:r>
      <w:r>
        <w:rPr>
          <w:lang w:eastAsia="ja-JP"/>
        </w:rPr>
        <w:t>worldwide</w:t>
      </w:r>
      <w:r>
        <w:t xml:space="preserve"> on a primary basis to the radiolocation </w:t>
      </w:r>
      <w:proofErr w:type="gramStart"/>
      <w:r>
        <w:t>service;</w:t>
      </w:r>
      <w:proofErr w:type="gramEnd"/>
    </w:p>
    <w:p w14:paraId="2BC09547" w14:textId="77777777" w:rsidR="0096367D" w:rsidRDefault="0096367D" w:rsidP="0096367D">
      <w:r>
        <w:rPr>
          <w:i/>
        </w:rPr>
        <w:t>ae)</w:t>
      </w:r>
      <w:r>
        <w:rPr>
          <w:i/>
        </w:rPr>
        <w:tab/>
      </w:r>
      <w:r>
        <w:t xml:space="preserve">that a number of administrations use the </w:t>
      </w:r>
      <w:r>
        <w:rPr>
          <w:lang w:eastAsia="ja-JP"/>
        </w:rPr>
        <w:t>frequency</w:t>
      </w:r>
      <w:r>
        <w:t xml:space="preserve"> band 3 300-3 400 MHz, or portions thereof, which is allocated to the fixed and mobile services on a primary basis in No.</w:t>
      </w:r>
      <w:r>
        <w:rPr>
          <w:lang w:eastAsia="ja-JP"/>
        </w:rPr>
        <w:t> </w:t>
      </w:r>
      <w:proofErr w:type="gramStart"/>
      <w:r>
        <w:rPr>
          <w:b/>
          <w:bCs/>
        </w:rPr>
        <w:t>5.429</w:t>
      </w:r>
      <w:r>
        <w:t>;</w:t>
      </w:r>
      <w:proofErr w:type="gramEnd"/>
    </w:p>
    <w:p w14:paraId="162B9BB6" w14:textId="77777777" w:rsidR="0096367D" w:rsidRDefault="0096367D" w:rsidP="0096367D">
      <w:proofErr w:type="spellStart"/>
      <w:r>
        <w:rPr>
          <w:i/>
          <w:iCs/>
        </w:rPr>
        <w:t>af</w:t>
      </w:r>
      <w:proofErr w:type="spellEnd"/>
      <w:r>
        <w:rPr>
          <w:i/>
          <w:iCs/>
        </w:rPr>
        <w:t>)</w:t>
      </w:r>
      <w:r>
        <w:tab/>
        <w:t>that the frequency band 4</w:t>
      </w:r>
      <w:r>
        <w:rPr>
          <w:lang w:eastAsia="ja-JP"/>
        </w:rPr>
        <w:t> </w:t>
      </w:r>
      <w:r>
        <w:t>800-4</w:t>
      </w:r>
      <w:r>
        <w:rPr>
          <w:lang w:eastAsia="ja-JP"/>
        </w:rPr>
        <w:t> </w:t>
      </w:r>
      <w:r>
        <w:t>990</w:t>
      </w:r>
      <w:r>
        <w:rPr>
          <w:lang w:eastAsia="ja-JP"/>
        </w:rPr>
        <w:t> </w:t>
      </w:r>
      <w:r>
        <w:t xml:space="preserve">MHz is allocated worldwide to the mobile and fixed services on a primary </w:t>
      </w:r>
      <w:proofErr w:type="gramStart"/>
      <w:r>
        <w:t>basis;</w:t>
      </w:r>
      <w:proofErr w:type="gramEnd"/>
    </w:p>
    <w:p w14:paraId="22016392" w14:textId="77777777" w:rsidR="0096367D" w:rsidRDefault="0096367D" w:rsidP="0096367D">
      <w:pPr>
        <w:rPr>
          <w:i/>
          <w:iCs/>
        </w:rPr>
      </w:pPr>
      <w:r>
        <w:rPr>
          <w:i/>
          <w:iCs/>
        </w:rPr>
        <w:t>ag)</w:t>
      </w:r>
      <w:r>
        <w:tab/>
        <w:t>that WRC</w:t>
      </w:r>
      <w:r>
        <w:noBreakHyphen/>
        <w:t xml:space="preserve">15 and this conference identified the </w:t>
      </w:r>
      <w:r>
        <w:rPr>
          <w:lang w:eastAsia="ja-JP"/>
        </w:rPr>
        <w:t xml:space="preserve">frequency </w:t>
      </w:r>
      <w:r>
        <w:t>band 4</w:t>
      </w:r>
      <w:r>
        <w:rPr>
          <w:lang w:eastAsia="ja-JP"/>
        </w:rPr>
        <w:t> </w:t>
      </w:r>
      <w:r>
        <w:t>800-4</w:t>
      </w:r>
      <w:r>
        <w:rPr>
          <w:lang w:eastAsia="ja-JP"/>
        </w:rPr>
        <w:t> </w:t>
      </w:r>
      <w:r>
        <w:t>990</w:t>
      </w:r>
      <w:r>
        <w:rPr>
          <w:lang w:eastAsia="ja-JP"/>
        </w:rPr>
        <w:t> </w:t>
      </w:r>
      <w:r>
        <w:t>MHz for use by administrations wishing to implement terrestrial IMT systems in countries listed in Nos. </w:t>
      </w:r>
      <w:r>
        <w:rPr>
          <w:b/>
          <w:bCs/>
        </w:rPr>
        <w:t>5.441A</w:t>
      </w:r>
      <w:r>
        <w:t xml:space="preserve"> and </w:t>
      </w:r>
      <w:r>
        <w:rPr>
          <w:b/>
          <w:bCs/>
        </w:rPr>
        <w:t>5.</w:t>
      </w:r>
      <w:proofErr w:type="gramStart"/>
      <w:r>
        <w:rPr>
          <w:b/>
          <w:bCs/>
        </w:rPr>
        <w:t>441B</w:t>
      </w:r>
      <w:r>
        <w:t>;</w:t>
      </w:r>
      <w:proofErr w:type="gramEnd"/>
    </w:p>
    <w:p w14:paraId="2A559256" w14:textId="77777777" w:rsidR="0096367D" w:rsidRDefault="0096367D" w:rsidP="0096367D">
      <w:r>
        <w:rPr>
          <w:i/>
          <w:iCs/>
        </w:rPr>
        <w:t>ah)</w:t>
      </w:r>
      <w:r>
        <w:tab/>
        <w:t>that appropriate technical measures may be considered by administrations at a national level to facilitate adjacent frequency band compatibility between radio astronomy receivers in the frequency band 4</w:t>
      </w:r>
      <w:r>
        <w:rPr>
          <w:lang w:eastAsia="ja-JP"/>
        </w:rPr>
        <w:t> </w:t>
      </w:r>
      <w:r>
        <w:t>990-5</w:t>
      </w:r>
      <w:r>
        <w:rPr>
          <w:lang w:eastAsia="ja-JP"/>
        </w:rPr>
        <w:t> </w:t>
      </w:r>
      <w:r>
        <w:t>000</w:t>
      </w:r>
      <w:r>
        <w:rPr>
          <w:lang w:eastAsia="ja-JP"/>
        </w:rPr>
        <w:t> </w:t>
      </w:r>
      <w:r>
        <w:t>MHz and IMT systems in the frequency band 4 800</w:t>
      </w:r>
      <w:r>
        <w:noBreakHyphen/>
        <w:t>4 990 MHz,</w:t>
      </w:r>
    </w:p>
    <w:p w14:paraId="2FDBACDC" w14:textId="77777777" w:rsidR="0096367D" w:rsidRDefault="0096367D" w:rsidP="0096367D">
      <w:pPr>
        <w:pStyle w:val="Call"/>
      </w:pPr>
      <w:r>
        <w:t>emphasizing</w:t>
      </w:r>
    </w:p>
    <w:p w14:paraId="19832F91" w14:textId="77777777" w:rsidR="0096367D" w:rsidRDefault="0096367D" w:rsidP="0096367D">
      <w:pPr>
        <w:keepNext/>
      </w:pPr>
      <w:r>
        <w:rPr>
          <w:i/>
          <w:iCs/>
          <w:color w:val="000000"/>
        </w:rPr>
        <w:t>a)</w:t>
      </w:r>
      <w:r>
        <w:tab/>
        <w:t>that flexibility must be afforded to administrations:</w:t>
      </w:r>
    </w:p>
    <w:p w14:paraId="58C497A1" w14:textId="77777777" w:rsidR="0096367D" w:rsidRDefault="0096367D" w:rsidP="0096367D">
      <w:pPr>
        <w:pStyle w:val="enumlev1"/>
      </w:pPr>
      <w:r>
        <w:t>–</w:t>
      </w:r>
      <w:r>
        <w:tab/>
        <w:t xml:space="preserve">to determine, at a national level, how much spectrum to make available for IMT from within the identified frequency </w:t>
      </w:r>
      <w:proofErr w:type="gramStart"/>
      <w:r>
        <w:t>bands;</w:t>
      </w:r>
      <w:proofErr w:type="gramEnd"/>
    </w:p>
    <w:p w14:paraId="08F9E00C" w14:textId="77777777" w:rsidR="0096367D" w:rsidRDefault="0096367D" w:rsidP="0096367D">
      <w:pPr>
        <w:pStyle w:val="enumlev1"/>
      </w:pPr>
      <w:r>
        <w:lastRenderedPageBreak/>
        <w:t>–</w:t>
      </w:r>
      <w:r>
        <w:tab/>
        <w:t xml:space="preserve">to develop their own transition plans, if necessary, tailored to meet their specific deployment of existing </w:t>
      </w:r>
      <w:proofErr w:type="gramStart"/>
      <w:r>
        <w:t>systems;</w:t>
      </w:r>
      <w:proofErr w:type="gramEnd"/>
    </w:p>
    <w:p w14:paraId="7514D6B1" w14:textId="77777777" w:rsidR="0096367D" w:rsidRDefault="0096367D" w:rsidP="0096367D">
      <w:pPr>
        <w:pStyle w:val="enumlev1"/>
      </w:pPr>
      <w:r>
        <w:t>–</w:t>
      </w:r>
      <w:r>
        <w:tab/>
        <w:t xml:space="preserve">to have the ability for the identified frequency bands to be used by all services having allocations in those frequency </w:t>
      </w:r>
      <w:proofErr w:type="gramStart"/>
      <w:r>
        <w:t>bands;</w:t>
      </w:r>
      <w:proofErr w:type="gramEnd"/>
    </w:p>
    <w:p w14:paraId="3B7D3631" w14:textId="77777777" w:rsidR="0096367D" w:rsidRDefault="0096367D" w:rsidP="0096367D">
      <w:pPr>
        <w:pStyle w:val="enumlev1"/>
      </w:pPr>
      <w:r>
        <w:t>–</w:t>
      </w:r>
      <w:r>
        <w:tab/>
        <w:t xml:space="preserve">to determine the timing of availability and use of the frequency bands identified for IMT, in order to meet particular user demand and other national </w:t>
      </w:r>
      <w:proofErr w:type="gramStart"/>
      <w:r>
        <w:t>considerations;</w:t>
      </w:r>
      <w:proofErr w:type="gramEnd"/>
    </w:p>
    <w:p w14:paraId="4D94D33C" w14:textId="77777777" w:rsidR="0096367D" w:rsidRDefault="0096367D" w:rsidP="0096367D">
      <w:r>
        <w:rPr>
          <w:i/>
          <w:iCs/>
          <w:color w:val="000000"/>
        </w:rPr>
        <w:t>b)</w:t>
      </w:r>
      <w:r>
        <w:tab/>
        <w:t xml:space="preserve">that the particular needs of developing countries must be </w:t>
      </w:r>
      <w:proofErr w:type="gramStart"/>
      <w:r>
        <w:t>met;</w:t>
      </w:r>
      <w:proofErr w:type="gramEnd"/>
    </w:p>
    <w:p w14:paraId="6178920A" w14:textId="77777777" w:rsidR="0096367D" w:rsidRDefault="0096367D" w:rsidP="0096367D">
      <w:r>
        <w:rPr>
          <w:i/>
          <w:iCs/>
          <w:color w:val="000000"/>
        </w:rPr>
        <w:t>c)</w:t>
      </w:r>
      <w:r>
        <w:tab/>
        <w:t>that Recommendation ITU</w:t>
      </w:r>
      <w:r>
        <w:noBreakHyphen/>
        <w:t>R M.819 describes the objectives to be met by IMT</w:t>
      </w:r>
      <w:r>
        <w:noBreakHyphen/>
        <w:t>2000 in order to meet the needs of developing countries,</w:t>
      </w:r>
    </w:p>
    <w:p w14:paraId="69878364" w14:textId="77777777" w:rsidR="0096367D" w:rsidRDefault="0096367D" w:rsidP="0096367D">
      <w:pPr>
        <w:pStyle w:val="Call"/>
      </w:pPr>
      <w:r>
        <w:t>noting</w:t>
      </w:r>
    </w:p>
    <w:p w14:paraId="0EC8738A" w14:textId="77777777" w:rsidR="0096367D" w:rsidRDefault="0096367D" w:rsidP="0096367D">
      <w:pPr>
        <w:rPr>
          <w:rFonts w:eastAsia="???"/>
        </w:rPr>
      </w:pPr>
      <w:r>
        <w:rPr>
          <w:rFonts w:eastAsia="???"/>
          <w:i/>
          <w:iCs/>
        </w:rPr>
        <w:t>a)</w:t>
      </w:r>
      <w:r>
        <w:rPr>
          <w:rFonts w:eastAsia="???"/>
        </w:rPr>
        <w:tab/>
        <w:t>Resolutions </w:t>
      </w:r>
      <w:r>
        <w:rPr>
          <w:b/>
          <w:bCs/>
        </w:rPr>
        <w:t>224 (Rev.WRC</w:t>
      </w:r>
      <w:r>
        <w:rPr>
          <w:b/>
          <w:bCs/>
        </w:rPr>
        <w:noBreakHyphen/>
        <w:t>19)</w:t>
      </w:r>
      <w:r>
        <w:rPr>
          <w:rFonts w:eastAsia="???"/>
        </w:rPr>
        <w:t xml:space="preserve"> and </w:t>
      </w:r>
      <w:r>
        <w:rPr>
          <w:b/>
          <w:bCs/>
        </w:rPr>
        <w:t>225 (Rev.WRC</w:t>
      </w:r>
      <w:r>
        <w:rPr>
          <w:b/>
          <w:bCs/>
        </w:rPr>
        <w:noBreakHyphen/>
        <w:t>12)</w:t>
      </w:r>
      <w:r>
        <w:rPr>
          <w:rFonts w:eastAsia="???"/>
        </w:rPr>
        <w:t xml:space="preserve">, which also relate to </w:t>
      </w:r>
      <w:proofErr w:type="gramStart"/>
      <w:r>
        <w:rPr>
          <w:rFonts w:eastAsia="???"/>
        </w:rPr>
        <w:t>IMT;</w:t>
      </w:r>
      <w:proofErr w:type="gramEnd"/>
    </w:p>
    <w:p w14:paraId="3B05314D" w14:textId="77777777" w:rsidR="0096367D" w:rsidRDefault="0096367D" w:rsidP="0096367D">
      <w:pPr>
        <w:rPr>
          <w:rFonts w:eastAsia="???"/>
        </w:rPr>
      </w:pPr>
      <w:r>
        <w:rPr>
          <w:rFonts w:eastAsia="???"/>
          <w:i/>
          <w:iCs/>
        </w:rPr>
        <w:t>b)</w:t>
      </w:r>
      <w:r>
        <w:rPr>
          <w:rFonts w:eastAsia="???"/>
        </w:rPr>
        <w:tab/>
        <w:t>that the sharing implications between services sharing the</w:t>
      </w:r>
      <w:r>
        <w:t xml:space="preserve"> frequency</w:t>
      </w:r>
      <w:r>
        <w:rPr>
          <w:rFonts w:eastAsia="???"/>
        </w:rPr>
        <w:t xml:space="preserve"> bands identified for IMT in No. </w:t>
      </w:r>
      <w:r w:rsidRPr="00BB4957">
        <w:rPr>
          <w:rStyle w:val="Artref"/>
          <w:rFonts w:eastAsia="???"/>
          <w:b/>
          <w:bCs/>
          <w:color w:val="000000"/>
        </w:rPr>
        <w:t>5.384A</w:t>
      </w:r>
      <w:r>
        <w:rPr>
          <w:rStyle w:val="Artref"/>
          <w:rFonts w:eastAsia="???"/>
          <w:color w:val="000000"/>
        </w:rPr>
        <w:t>, as relevant,</w:t>
      </w:r>
      <w:r>
        <w:rPr>
          <w:rFonts w:eastAsia="???"/>
        </w:rPr>
        <w:t xml:space="preserve"> will need further study in ITU</w:t>
      </w:r>
      <w:r>
        <w:rPr>
          <w:rFonts w:eastAsia="???"/>
        </w:rPr>
        <w:noBreakHyphen/>
      </w:r>
      <w:proofErr w:type="gramStart"/>
      <w:r>
        <w:rPr>
          <w:rFonts w:eastAsia="???"/>
        </w:rPr>
        <w:t>R;</w:t>
      </w:r>
      <w:proofErr w:type="gramEnd"/>
    </w:p>
    <w:p w14:paraId="51412B57" w14:textId="77777777" w:rsidR="0096367D" w:rsidRDefault="0096367D" w:rsidP="0096367D">
      <w:pPr>
        <w:rPr>
          <w:rFonts w:eastAsia="???"/>
        </w:rPr>
      </w:pPr>
      <w:r>
        <w:rPr>
          <w:i/>
          <w:iCs/>
        </w:rPr>
        <w:t>c)</w:t>
      </w:r>
      <w:r>
        <w:tab/>
        <w:t xml:space="preserve">that studies regarding the availability of the frequency band 2 300-2 400 MHz for IMT are being conducted in many countries, the results of which could have implications for the use of those frequency bands in those </w:t>
      </w:r>
      <w:proofErr w:type="gramStart"/>
      <w:r>
        <w:t>countries;</w:t>
      </w:r>
      <w:proofErr w:type="gramEnd"/>
    </w:p>
    <w:p w14:paraId="4C2896AD" w14:textId="77777777" w:rsidR="0096367D" w:rsidRDefault="0096367D" w:rsidP="0096367D">
      <w:pPr>
        <w:rPr>
          <w:rFonts w:eastAsia="???"/>
        </w:rPr>
      </w:pPr>
      <w:r>
        <w:rPr>
          <w:i/>
        </w:rPr>
        <w:t>d)</w:t>
      </w:r>
      <w:r>
        <w:rPr>
          <w:i/>
        </w:rPr>
        <w:tab/>
      </w:r>
      <w:r>
        <w:t>that, due to differing requirements, not all administrations may need all of the IMT frequency bands identified at WRC</w:t>
      </w:r>
      <w:r>
        <w:noBreakHyphen/>
        <w:t xml:space="preserve">07, or, due to the usage by and investment in existing services, may not be able to implement IMT in all of those frequency </w:t>
      </w:r>
      <w:proofErr w:type="gramStart"/>
      <w:r>
        <w:t>bands;</w:t>
      </w:r>
      <w:proofErr w:type="gramEnd"/>
    </w:p>
    <w:p w14:paraId="6542D0DC" w14:textId="77777777" w:rsidR="0096367D" w:rsidRDefault="0096367D" w:rsidP="0096367D">
      <w:pPr>
        <w:rPr>
          <w:rFonts w:eastAsia="???"/>
        </w:rPr>
      </w:pPr>
      <w:r>
        <w:rPr>
          <w:rFonts w:eastAsia="???"/>
          <w:i/>
          <w:iCs/>
        </w:rPr>
        <w:t>e)</w:t>
      </w:r>
      <w:r>
        <w:rPr>
          <w:rFonts w:eastAsia="???"/>
        </w:rPr>
        <w:tab/>
        <w:t>that the spectrum for IMT identified by WRC</w:t>
      </w:r>
      <w:r>
        <w:rPr>
          <w:rFonts w:eastAsia="???"/>
        </w:rPr>
        <w:noBreakHyphen/>
        <w:t xml:space="preserve">07 may not completely satisfy the expected requirements of some </w:t>
      </w:r>
      <w:proofErr w:type="gramStart"/>
      <w:r>
        <w:rPr>
          <w:rFonts w:eastAsia="???"/>
        </w:rPr>
        <w:t>administrations;</w:t>
      </w:r>
      <w:proofErr w:type="gramEnd"/>
    </w:p>
    <w:p w14:paraId="4F536E93" w14:textId="77777777" w:rsidR="0096367D" w:rsidRDefault="0096367D" w:rsidP="0096367D">
      <w:pPr>
        <w:rPr>
          <w:rFonts w:eastAsia="???"/>
        </w:rPr>
      </w:pPr>
      <w:r>
        <w:rPr>
          <w:rFonts w:eastAsia="???"/>
          <w:i/>
          <w:iCs/>
        </w:rPr>
        <w:t>f)</w:t>
      </w:r>
      <w:r>
        <w:rPr>
          <w:rFonts w:eastAsia="???"/>
          <w:i/>
          <w:iCs/>
        </w:rPr>
        <w:tab/>
      </w:r>
      <w:r>
        <w:rPr>
          <w:rFonts w:eastAsia="???"/>
        </w:rPr>
        <w:t>that currently operating mobile communication systems may evolve to IMT in their existing</w:t>
      </w:r>
      <w:r>
        <w:t xml:space="preserve"> frequency</w:t>
      </w:r>
      <w:r>
        <w:rPr>
          <w:rFonts w:eastAsia="???"/>
        </w:rPr>
        <w:t xml:space="preserve"> </w:t>
      </w:r>
      <w:proofErr w:type="gramStart"/>
      <w:r>
        <w:rPr>
          <w:rFonts w:eastAsia="???"/>
        </w:rPr>
        <w:t>bands;</w:t>
      </w:r>
      <w:proofErr w:type="gramEnd"/>
    </w:p>
    <w:p w14:paraId="4EC5D165" w14:textId="77777777" w:rsidR="0096367D" w:rsidRDefault="0096367D" w:rsidP="0096367D">
      <w:pPr>
        <w:rPr>
          <w:rFonts w:eastAsia="???"/>
        </w:rPr>
      </w:pPr>
      <w:r>
        <w:rPr>
          <w:rFonts w:eastAsia="???"/>
          <w:i/>
          <w:iCs/>
        </w:rPr>
        <w:t>g)</w:t>
      </w:r>
      <w:r>
        <w:rPr>
          <w:rFonts w:eastAsia="???"/>
        </w:rPr>
        <w:tab/>
        <w:t xml:space="preserve">that services such as the fixed service, the mobile service (second-generation systems), the space operation service, the space research service and the AMS are in operation or planned in the </w:t>
      </w:r>
      <w:r>
        <w:t>frequency</w:t>
      </w:r>
      <w:r>
        <w:rPr>
          <w:rFonts w:eastAsia="???"/>
        </w:rPr>
        <w:t xml:space="preserve"> band 1 710</w:t>
      </w:r>
      <w:r>
        <w:rPr>
          <w:rFonts w:eastAsia="???"/>
        </w:rPr>
        <w:noBreakHyphen/>
        <w:t xml:space="preserve">1 885 MHz, or portions </w:t>
      </w:r>
      <w:proofErr w:type="gramStart"/>
      <w:r>
        <w:rPr>
          <w:rFonts w:eastAsia="???"/>
        </w:rPr>
        <w:t>thereof;</w:t>
      </w:r>
      <w:proofErr w:type="gramEnd"/>
    </w:p>
    <w:p w14:paraId="15FF0149" w14:textId="77777777" w:rsidR="0096367D" w:rsidRDefault="0096367D" w:rsidP="0096367D">
      <w:pPr>
        <w:rPr>
          <w:rFonts w:eastAsia="???"/>
        </w:rPr>
      </w:pPr>
      <w:r>
        <w:rPr>
          <w:rFonts w:eastAsia="???"/>
          <w:i/>
          <w:iCs/>
        </w:rPr>
        <w:t>h)</w:t>
      </w:r>
      <w:r>
        <w:rPr>
          <w:rFonts w:eastAsia="???"/>
        </w:rPr>
        <w:tab/>
        <w:t>that in the</w:t>
      </w:r>
      <w:r>
        <w:t xml:space="preserve"> frequency</w:t>
      </w:r>
      <w:r>
        <w:rPr>
          <w:rFonts w:eastAsia="???"/>
        </w:rPr>
        <w:t xml:space="preserve"> band 2 300-2 400 MHz, or portions thereof, there are services such as the fixed, mobile, amateur and radiolocation services which are currently in operation or planned to be in operation in the </w:t>
      </w:r>
      <w:proofErr w:type="gramStart"/>
      <w:r>
        <w:rPr>
          <w:rFonts w:eastAsia="???"/>
        </w:rPr>
        <w:t>future;</w:t>
      </w:r>
      <w:proofErr w:type="gramEnd"/>
    </w:p>
    <w:p w14:paraId="72E10F14" w14:textId="77777777" w:rsidR="0096367D" w:rsidRDefault="0096367D" w:rsidP="0096367D">
      <w:pPr>
        <w:rPr>
          <w:rFonts w:eastAsia="???"/>
        </w:rPr>
      </w:pPr>
      <w:r>
        <w:rPr>
          <w:rFonts w:eastAsia="???"/>
          <w:i/>
          <w:iCs/>
        </w:rPr>
        <w:t>i)</w:t>
      </w:r>
      <w:r>
        <w:rPr>
          <w:rFonts w:eastAsia="???"/>
        </w:rPr>
        <w:tab/>
        <w:t xml:space="preserve">that services such as the broadcasting-satellite service (BSS), the BSS (sound), the MSS (in </w:t>
      </w:r>
      <w:proofErr w:type="gramStart"/>
      <w:r>
        <w:rPr>
          <w:rFonts w:eastAsia="???"/>
        </w:rPr>
        <w:t>Region</w:t>
      </w:r>
      <w:proofErr w:type="gramEnd"/>
      <w:r>
        <w:t> </w:t>
      </w:r>
      <w:r>
        <w:rPr>
          <w:rFonts w:eastAsia="???"/>
        </w:rPr>
        <w:t>3) and the fixed service (including multipoint distribution/communication systems) are in operation or planned in the</w:t>
      </w:r>
      <w:r>
        <w:t xml:space="preserve"> frequency</w:t>
      </w:r>
      <w:r>
        <w:rPr>
          <w:rFonts w:eastAsia="???"/>
        </w:rPr>
        <w:t xml:space="preserve"> band 2 500-2 690 MHz, or portions thereof;</w:t>
      </w:r>
    </w:p>
    <w:p w14:paraId="3F0C6FFF" w14:textId="77777777" w:rsidR="0096367D" w:rsidRDefault="0096367D" w:rsidP="0096367D">
      <w:pPr>
        <w:rPr>
          <w:rFonts w:eastAsia="???"/>
        </w:rPr>
      </w:pPr>
      <w:r>
        <w:rPr>
          <w:rFonts w:eastAsia="???"/>
          <w:i/>
          <w:iCs/>
        </w:rPr>
        <w:t>j)</w:t>
      </w:r>
      <w:r>
        <w:rPr>
          <w:rFonts w:eastAsia="???"/>
        </w:rPr>
        <w:tab/>
        <w:t>that the identification of several</w:t>
      </w:r>
      <w:r>
        <w:t xml:space="preserve"> frequency</w:t>
      </w:r>
      <w:r>
        <w:rPr>
          <w:rFonts w:eastAsia="???"/>
        </w:rPr>
        <w:t xml:space="preserve"> bands for IMT allows administrations to choose the best</w:t>
      </w:r>
      <w:r>
        <w:t xml:space="preserve"> frequency</w:t>
      </w:r>
      <w:r>
        <w:rPr>
          <w:rFonts w:eastAsia="???"/>
        </w:rPr>
        <w:t xml:space="preserve"> band or parts thereof for their </w:t>
      </w:r>
      <w:proofErr w:type="gramStart"/>
      <w:r>
        <w:rPr>
          <w:rFonts w:eastAsia="???"/>
        </w:rPr>
        <w:t>circumstances;</w:t>
      </w:r>
      <w:proofErr w:type="gramEnd"/>
    </w:p>
    <w:p w14:paraId="5B315BAF" w14:textId="77777777" w:rsidR="0096367D" w:rsidRDefault="0096367D" w:rsidP="0096367D">
      <w:r>
        <w:rPr>
          <w:rFonts w:eastAsia="???"/>
          <w:i/>
        </w:rPr>
        <w:t>k)</w:t>
      </w:r>
      <w:r>
        <w:rPr>
          <w:rFonts w:eastAsia="???"/>
        </w:rPr>
        <w:tab/>
        <w:t xml:space="preserve">that further study of the technical and operational measures regarding adjacent frequency band compatibility between IMT systems operating below 3 400 MHz and fixed-satellite service earth stations operating above 3 400 MHz may be </w:t>
      </w:r>
      <w:proofErr w:type="gramStart"/>
      <w:r>
        <w:rPr>
          <w:rFonts w:eastAsia="???"/>
        </w:rPr>
        <w:t>required;</w:t>
      </w:r>
      <w:proofErr w:type="gramEnd"/>
    </w:p>
    <w:p w14:paraId="0F971E72" w14:textId="77777777" w:rsidR="0096367D" w:rsidRDefault="0096367D" w:rsidP="0096367D">
      <w:r>
        <w:rPr>
          <w:i/>
          <w:iCs/>
        </w:rPr>
        <w:t>l)</w:t>
      </w:r>
      <w:r>
        <w:tab/>
        <w:t>that ITU</w:t>
      </w:r>
      <w:r>
        <w:noBreakHyphen/>
        <w:t xml:space="preserve">R has identified additional work to address further developments in </w:t>
      </w:r>
      <w:proofErr w:type="gramStart"/>
      <w:r>
        <w:t>IMT;</w:t>
      </w:r>
      <w:proofErr w:type="gramEnd"/>
    </w:p>
    <w:p w14:paraId="3377B509" w14:textId="77777777" w:rsidR="0096367D" w:rsidRDefault="0096367D" w:rsidP="0096367D">
      <w:r>
        <w:rPr>
          <w:rFonts w:eastAsia="???"/>
          <w:i/>
          <w:iCs/>
        </w:rPr>
        <w:t>m)</w:t>
      </w:r>
      <w:r>
        <w:rPr>
          <w:rFonts w:eastAsia="???"/>
        </w:rPr>
        <w:tab/>
        <w:t>that the IMT terrestrial radio interfaces as defined in Recommendations ITU</w:t>
      </w:r>
      <w:r>
        <w:rPr>
          <w:rFonts w:eastAsia="???"/>
        </w:rPr>
        <w:noBreakHyphen/>
        <w:t>R M.1457 and ITU</w:t>
      </w:r>
      <w:r>
        <w:rPr>
          <w:rFonts w:eastAsia="???"/>
        </w:rPr>
        <w:noBreakHyphen/>
        <w:t>R</w:t>
      </w:r>
      <w:r>
        <w:t> </w:t>
      </w:r>
      <w:r>
        <w:rPr>
          <w:rFonts w:eastAsia="???"/>
        </w:rPr>
        <w:t>M.2012 are expected to evolve within the framework of ITU</w:t>
      </w:r>
      <w:r>
        <w:rPr>
          <w:rFonts w:eastAsia="???"/>
        </w:rPr>
        <w:noBreakHyphen/>
        <w:t xml:space="preserve">R beyond those initially specified, to provide enhanced services and services beyond those envisaged in the initial </w:t>
      </w:r>
      <w:proofErr w:type="gramStart"/>
      <w:r>
        <w:rPr>
          <w:rFonts w:eastAsia="???"/>
        </w:rPr>
        <w:t>implementation;</w:t>
      </w:r>
      <w:proofErr w:type="gramEnd"/>
    </w:p>
    <w:p w14:paraId="1268E7E6" w14:textId="77777777" w:rsidR="0096367D" w:rsidRDefault="0096367D" w:rsidP="0096367D">
      <w:pPr>
        <w:rPr>
          <w:rFonts w:eastAsia="???"/>
        </w:rPr>
      </w:pPr>
      <w:r>
        <w:rPr>
          <w:rFonts w:eastAsia="???"/>
          <w:i/>
          <w:iCs/>
        </w:rPr>
        <w:t>n)</w:t>
      </w:r>
      <w:r>
        <w:rPr>
          <w:rFonts w:eastAsia="???"/>
        </w:rPr>
        <w:tab/>
        <w:t xml:space="preserve">that the identification of a </w:t>
      </w:r>
      <w:r>
        <w:t>frequency</w:t>
      </w:r>
      <w:r>
        <w:rPr>
          <w:rFonts w:eastAsia="???"/>
        </w:rPr>
        <w:t xml:space="preserve"> band for IMT does not establish priority in the Radio Regulations and does not preclude the use of the</w:t>
      </w:r>
      <w:r>
        <w:t xml:space="preserve"> frequency</w:t>
      </w:r>
      <w:r>
        <w:rPr>
          <w:rFonts w:eastAsia="???"/>
        </w:rPr>
        <w:t xml:space="preserve"> band for any application of the services to which it is </w:t>
      </w:r>
      <w:proofErr w:type="gramStart"/>
      <w:r>
        <w:rPr>
          <w:rFonts w:eastAsia="???"/>
        </w:rPr>
        <w:t>allocated;</w:t>
      </w:r>
      <w:proofErr w:type="gramEnd"/>
    </w:p>
    <w:p w14:paraId="5D951CEC" w14:textId="77777777" w:rsidR="0096367D" w:rsidRDefault="0096367D" w:rsidP="0096367D">
      <w:r w:rsidRPr="00BF28CD">
        <w:rPr>
          <w:i/>
          <w:iCs/>
        </w:rPr>
        <w:t>o)</w:t>
      </w:r>
      <w:r w:rsidRPr="00BF28CD">
        <w:tab/>
        <w:t>that the provisions of Nos. </w:t>
      </w:r>
      <w:r w:rsidRPr="00BF28CD">
        <w:rPr>
          <w:rStyle w:val="Artref"/>
          <w:b/>
          <w:bCs/>
          <w:color w:val="auto"/>
        </w:rPr>
        <w:t>5.317A</w:t>
      </w:r>
      <w:r w:rsidRPr="00BF28CD">
        <w:t xml:space="preserve">, </w:t>
      </w:r>
      <w:r w:rsidRPr="00BF28CD">
        <w:rPr>
          <w:rStyle w:val="Artref"/>
          <w:b/>
          <w:bCs/>
          <w:color w:val="auto"/>
        </w:rPr>
        <w:t>5.384A</w:t>
      </w:r>
      <w:r w:rsidRPr="00BF28CD">
        <w:rPr>
          <w:rStyle w:val="Artref"/>
          <w:bCs/>
          <w:color w:val="auto"/>
        </w:rPr>
        <w:t>,</w:t>
      </w:r>
      <w:r w:rsidRPr="00BF28CD">
        <w:t> </w:t>
      </w:r>
      <w:r w:rsidRPr="00BF28CD">
        <w:rPr>
          <w:rStyle w:val="Artref"/>
          <w:b/>
          <w:bCs/>
          <w:color w:val="auto"/>
        </w:rPr>
        <w:t>5.388</w:t>
      </w:r>
      <w:r w:rsidRPr="00BF28CD">
        <w:rPr>
          <w:rStyle w:val="Artref"/>
          <w:bCs/>
          <w:color w:val="auto"/>
        </w:rPr>
        <w:t>,</w:t>
      </w:r>
      <w:r w:rsidRPr="00BF28CD">
        <w:rPr>
          <w:rStyle w:val="Artref"/>
          <w:color w:val="auto"/>
        </w:rPr>
        <w:t xml:space="preserve"> </w:t>
      </w:r>
      <w:r w:rsidRPr="00BF28CD">
        <w:rPr>
          <w:b/>
          <w:bCs/>
        </w:rPr>
        <w:t>5.429B</w:t>
      </w:r>
      <w:r w:rsidRPr="00BF28CD">
        <w:t xml:space="preserve">, </w:t>
      </w:r>
      <w:r w:rsidRPr="00BF28CD">
        <w:rPr>
          <w:b/>
          <w:bCs/>
        </w:rPr>
        <w:t>5.429D</w:t>
      </w:r>
      <w:r w:rsidRPr="00BF28CD">
        <w:t xml:space="preserve">, </w:t>
      </w:r>
      <w:r w:rsidRPr="00BF28CD">
        <w:rPr>
          <w:b/>
          <w:bCs/>
        </w:rPr>
        <w:t>5.429F</w:t>
      </w:r>
      <w:r w:rsidRPr="00BF28CD">
        <w:t xml:space="preserve">, </w:t>
      </w:r>
      <w:r w:rsidRPr="00BF28CD">
        <w:rPr>
          <w:rStyle w:val="Artref"/>
          <w:b/>
          <w:color w:val="auto"/>
        </w:rPr>
        <w:t>5.441A</w:t>
      </w:r>
      <w:r w:rsidRPr="00BF28CD">
        <w:t xml:space="preserve"> and </w:t>
      </w:r>
      <w:r w:rsidRPr="00BF28CD">
        <w:rPr>
          <w:rStyle w:val="Artref"/>
          <w:b/>
          <w:color w:val="auto"/>
        </w:rPr>
        <w:t>5.441B</w:t>
      </w:r>
      <w:r w:rsidRPr="00BF28CD">
        <w:t xml:space="preserve"> do not prevent administrations from having the choice to implement other </w:t>
      </w:r>
      <w:r>
        <w:t>technologies in the frequency bands identified for IMT, based on national requirements,</w:t>
      </w:r>
    </w:p>
    <w:p w14:paraId="3C8376AE" w14:textId="77777777" w:rsidR="0096367D" w:rsidRDefault="0096367D" w:rsidP="0096367D">
      <w:pPr>
        <w:pStyle w:val="Call"/>
      </w:pPr>
      <w:r>
        <w:lastRenderedPageBreak/>
        <w:t>recognizing</w:t>
      </w:r>
    </w:p>
    <w:p w14:paraId="1A6CCF19" w14:textId="77777777" w:rsidR="0096367D" w:rsidRDefault="0096367D" w:rsidP="0096367D">
      <w:pPr>
        <w:rPr>
          <w:rFonts w:eastAsia="???"/>
        </w:rPr>
      </w:pPr>
      <w:r>
        <w:t>that for some administrations the only way of implementing IMT would be spectrum refarming, requiring significant financial investment,</w:t>
      </w:r>
    </w:p>
    <w:p w14:paraId="5B51BC69" w14:textId="77777777" w:rsidR="0096367D" w:rsidRDefault="0096367D" w:rsidP="0096367D">
      <w:pPr>
        <w:pStyle w:val="Call"/>
      </w:pPr>
      <w:r>
        <w:t>resolves</w:t>
      </w:r>
    </w:p>
    <w:p w14:paraId="69B5E92D" w14:textId="77777777" w:rsidR="0096367D" w:rsidRDefault="0096367D" w:rsidP="0096367D">
      <w:pPr>
        <w:rPr>
          <w:rFonts w:eastAsia="???"/>
        </w:rPr>
      </w:pPr>
      <w:r>
        <w:rPr>
          <w:rFonts w:eastAsia="???"/>
        </w:rPr>
        <w:t>1</w:t>
      </w:r>
      <w:r>
        <w:rPr>
          <w:rFonts w:eastAsia="???"/>
        </w:rPr>
        <w:tab/>
        <w:t xml:space="preserve">to invite administrations planning to implement IMT to make available, based on user demand and other national considerations, additional </w:t>
      </w:r>
      <w:r>
        <w:t>frequency</w:t>
      </w:r>
      <w:r>
        <w:rPr>
          <w:rFonts w:eastAsia="???"/>
        </w:rPr>
        <w:t xml:space="preserve"> bands or portions of the</w:t>
      </w:r>
      <w:r>
        <w:t xml:space="preserve"> frequency</w:t>
      </w:r>
      <w:r>
        <w:rPr>
          <w:rFonts w:eastAsia="???"/>
        </w:rPr>
        <w:t xml:space="preserve"> bands above 1 GHz identified in Nos.</w:t>
      </w:r>
      <w:r>
        <w:rPr>
          <w:lang w:eastAsia="ja-JP"/>
        </w:rPr>
        <w:t> </w:t>
      </w:r>
      <w:r>
        <w:rPr>
          <w:rFonts w:eastAsia="???"/>
          <w:b/>
        </w:rPr>
        <w:t>5.341B</w:t>
      </w:r>
      <w:r>
        <w:rPr>
          <w:rFonts w:eastAsia="???"/>
          <w:bCs/>
        </w:rPr>
        <w:t>,</w:t>
      </w:r>
      <w:r>
        <w:rPr>
          <w:rFonts w:eastAsia="???"/>
        </w:rPr>
        <w:t> </w:t>
      </w:r>
      <w:r w:rsidRPr="00DE73B5">
        <w:rPr>
          <w:rStyle w:val="Artref"/>
          <w:rFonts w:eastAsia="???"/>
          <w:b/>
          <w:bCs/>
          <w:color w:val="000000"/>
        </w:rPr>
        <w:t>5.384A</w:t>
      </w:r>
      <w:r>
        <w:rPr>
          <w:rStyle w:val="Artref"/>
          <w:rFonts w:eastAsia="???"/>
          <w:bCs/>
          <w:color w:val="000000"/>
        </w:rPr>
        <w:t xml:space="preserve">, </w:t>
      </w:r>
      <w:r>
        <w:rPr>
          <w:b/>
          <w:bCs/>
        </w:rPr>
        <w:t>5.429B</w:t>
      </w:r>
      <w:r>
        <w:t xml:space="preserve">, </w:t>
      </w:r>
      <w:r>
        <w:rPr>
          <w:b/>
          <w:bCs/>
        </w:rPr>
        <w:t>5.429D</w:t>
      </w:r>
      <w:r>
        <w:t xml:space="preserve">, </w:t>
      </w:r>
      <w:r>
        <w:rPr>
          <w:b/>
          <w:bCs/>
        </w:rPr>
        <w:t>5.429F</w:t>
      </w:r>
      <w:r>
        <w:t>,</w:t>
      </w:r>
      <w:r>
        <w:rPr>
          <w:rStyle w:val="Artref"/>
          <w:bCs/>
        </w:rPr>
        <w:t xml:space="preserve"> </w:t>
      </w:r>
      <w:r w:rsidRPr="00BF28CD">
        <w:rPr>
          <w:rStyle w:val="Artref"/>
          <w:b/>
          <w:color w:val="auto"/>
        </w:rPr>
        <w:t>5.441A</w:t>
      </w:r>
      <w:r w:rsidRPr="00BF28CD">
        <w:t xml:space="preserve"> and </w:t>
      </w:r>
      <w:r w:rsidRPr="00BF28CD">
        <w:rPr>
          <w:rStyle w:val="Artref"/>
          <w:b/>
          <w:color w:val="auto"/>
        </w:rPr>
        <w:t>5.441B</w:t>
      </w:r>
      <w:r w:rsidRPr="00BF28CD">
        <w:rPr>
          <w:rFonts w:eastAsia="???"/>
        </w:rPr>
        <w:t xml:space="preserve"> for the terrestrial component of IMT; due consideration should be given to </w:t>
      </w:r>
      <w:r>
        <w:rPr>
          <w:rFonts w:eastAsia="???"/>
        </w:rPr>
        <w:t>the benefits of harmonized utilization of the spectrum for the terrestrial component of IMT, taking into account the services to which the frequency band is currently allocated;</w:t>
      </w:r>
    </w:p>
    <w:p w14:paraId="7EE5BD3C" w14:textId="77777777" w:rsidR="0096367D" w:rsidRDefault="0096367D" w:rsidP="0096367D">
      <w:pPr>
        <w:rPr>
          <w:rFonts w:eastAsia="???"/>
        </w:rPr>
      </w:pPr>
      <w:r>
        <w:rPr>
          <w:rFonts w:eastAsia="???"/>
        </w:rPr>
        <w:t>2</w:t>
      </w:r>
      <w:r>
        <w:rPr>
          <w:rFonts w:eastAsia="???"/>
        </w:rPr>
        <w:tab/>
        <w:t>to acknowledge that the differences in the texts of Nos. </w:t>
      </w:r>
      <w:r>
        <w:rPr>
          <w:rFonts w:eastAsia="???"/>
          <w:b/>
        </w:rPr>
        <w:t>5.341B</w:t>
      </w:r>
      <w:r>
        <w:rPr>
          <w:rFonts w:eastAsia="???"/>
        </w:rPr>
        <w:t>,</w:t>
      </w:r>
      <w:r>
        <w:rPr>
          <w:lang w:eastAsia="ja-JP"/>
        </w:rPr>
        <w:t xml:space="preserve"> </w:t>
      </w:r>
      <w:r w:rsidRPr="00DE73B5">
        <w:rPr>
          <w:rStyle w:val="Artref"/>
          <w:rFonts w:eastAsia="???"/>
          <w:b/>
          <w:bCs/>
          <w:color w:val="000000"/>
        </w:rPr>
        <w:t>5.384A</w:t>
      </w:r>
      <w:r>
        <w:rPr>
          <w:rFonts w:eastAsia="???"/>
        </w:rPr>
        <w:t xml:space="preserve"> and </w:t>
      </w:r>
      <w:r w:rsidRPr="00DE73B5">
        <w:rPr>
          <w:rStyle w:val="Artref"/>
          <w:rFonts w:eastAsia="???"/>
          <w:b/>
          <w:bCs/>
          <w:color w:val="000000"/>
        </w:rPr>
        <w:t>5.388</w:t>
      </w:r>
      <w:r>
        <w:rPr>
          <w:rFonts w:eastAsia="???"/>
        </w:rPr>
        <w:t xml:space="preserve"> do not confer differences in regulatory </w:t>
      </w:r>
      <w:proofErr w:type="gramStart"/>
      <w:r>
        <w:rPr>
          <w:rFonts w:eastAsia="???"/>
        </w:rPr>
        <w:t>status;</w:t>
      </w:r>
      <w:proofErr w:type="gramEnd"/>
    </w:p>
    <w:p w14:paraId="4E9998FD" w14:textId="77777777" w:rsidR="0096367D" w:rsidRPr="00BF28CD" w:rsidRDefault="0096367D" w:rsidP="0096367D">
      <w:pPr>
        <w:rPr>
          <w:rFonts w:eastAsia="???"/>
        </w:rPr>
      </w:pPr>
      <w:r w:rsidRPr="00BF28CD">
        <w:rPr>
          <w:rFonts w:eastAsia="???"/>
        </w:rPr>
        <w:t>3</w:t>
      </w:r>
      <w:r w:rsidRPr="00BF28CD">
        <w:rPr>
          <w:rFonts w:eastAsia="???"/>
        </w:rPr>
        <w:tab/>
        <w:t xml:space="preserve">that in the frequency bands 4 800-4 825 MHz and 4 835-4 950 MHz, in order </w:t>
      </w:r>
      <w:r w:rsidRPr="00BF28CD">
        <w:t>to identify potentially affected administrations when applying the procedure for seeking agreement under No. </w:t>
      </w:r>
      <w:r w:rsidRPr="00BF28CD">
        <w:rPr>
          <w:rStyle w:val="Artref"/>
          <w:b/>
          <w:color w:val="auto"/>
        </w:rPr>
        <w:t>9.21</w:t>
      </w:r>
      <w:r w:rsidRPr="00BF28CD">
        <w:t xml:space="preserve"> by IMT stations in relation to aircraft stations, a coordination distance from an IMT station to the border of another country equal to 300 km (for land path)/450 km (for sea path) </w:t>
      </w:r>
      <w:proofErr w:type="gramStart"/>
      <w:r w:rsidRPr="00BF28CD">
        <w:t>applies</w:t>
      </w:r>
      <w:r w:rsidRPr="00BF28CD">
        <w:rPr>
          <w:rFonts w:eastAsia="???"/>
        </w:rPr>
        <w:t>;</w:t>
      </w:r>
      <w:proofErr w:type="gramEnd"/>
    </w:p>
    <w:p w14:paraId="758F0BEE" w14:textId="77777777" w:rsidR="0096367D" w:rsidRDefault="0096367D" w:rsidP="0096367D">
      <w:pPr>
        <w:rPr>
          <w:rFonts w:eastAsia="???"/>
        </w:rPr>
      </w:pPr>
      <w:r w:rsidRPr="00BF28CD">
        <w:rPr>
          <w:rFonts w:eastAsia="???"/>
        </w:rPr>
        <w:t>4</w:t>
      </w:r>
      <w:r w:rsidRPr="00BF28CD">
        <w:rPr>
          <w:rFonts w:eastAsia="???"/>
        </w:rPr>
        <w:tab/>
        <w:t xml:space="preserve">that in the frequency band 4 800-4 990 MHz, in order </w:t>
      </w:r>
      <w:r w:rsidRPr="00BF28CD">
        <w:t>to identify potentially affected administrations when applying the procedure for seeking agreement under No. </w:t>
      </w:r>
      <w:r w:rsidRPr="00BF28CD">
        <w:rPr>
          <w:rStyle w:val="Artref"/>
          <w:b/>
          <w:color w:val="auto"/>
        </w:rPr>
        <w:t>9.21</w:t>
      </w:r>
      <w:r w:rsidRPr="00BF28CD">
        <w:t xml:space="preserve"> by IMT stations in relation to fixed-service stations or other ground-based stations of the mobile service, a coordination distance from an IMT station to the border of another country equal to 70 km </w:t>
      </w:r>
      <w:proofErr w:type="gramStart"/>
      <w:r>
        <w:t>applies</w:t>
      </w:r>
      <w:r>
        <w:rPr>
          <w:rFonts w:eastAsia="???"/>
        </w:rPr>
        <w:t>;</w:t>
      </w:r>
      <w:proofErr w:type="gramEnd"/>
    </w:p>
    <w:p w14:paraId="0BC9AA7E" w14:textId="77777777" w:rsidR="0096367D" w:rsidRDefault="0096367D" w:rsidP="0096367D">
      <w:pPr>
        <w:rPr>
          <w:rFonts w:eastAsia="???"/>
        </w:rPr>
      </w:pPr>
      <w:r>
        <w:rPr>
          <w:rFonts w:eastAsia="???"/>
        </w:rPr>
        <w:t>5</w:t>
      </w:r>
      <w:r>
        <w:rPr>
          <w:rFonts w:eastAsia="???"/>
        </w:rPr>
        <w:tab/>
        <w:t xml:space="preserve">that the </w:t>
      </w:r>
      <w:r>
        <w:t>power flux-density (</w:t>
      </w:r>
      <w:proofErr w:type="spellStart"/>
      <w:r>
        <w:t>pfd</w:t>
      </w:r>
      <w:proofErr w:type="spellEnd"/>
      <w:r>
        <w:t>) limits in No. </w:t>
      </w:r>
      <w:r>
        <w:rPr>
          <w:b/>
          <w:bCs/>
        </w:rPr>
        <w:t>5.441B</w:t>
      </w:r>
      <w:r>
        <w:t>, which is subject to review at WRC</w:t>
      </w:r>
      <w:r>
        <w:noBreakHyphen/>
        <w:t>23, shall not apply to the following countries: Armenia, Brazil, Cambodia, China, Russian Federation, Kazakhstan, Lao P.D.R., Uzbekistan, South Africa, Viet Nam and Zimbabwe,</w:t>
      </w:r>
    </w:p>
    <w:p w14:paraId="529E4F28" w14:textId="77777777" w:rsidR="0096367D" w:rsidRDefault="0096367D" w:rsidP="0096367D">
      <w:pPr>
        <w:pStyle w:val="Call"/>
      </w:pPr>
      <w:r>
        <w:t>invites the ITU Radiocommunication Sector</w:t>
      </w:r>
    </w:p>
    <w:p w14:paraId="1E4F91E4" w14:textId="77777777" w:rsidR="0096367D" w:rsidRDefault="0096367D" w:rsidP="0096367D">
      <w:pPr>
        <w:rPr>
          <w:lang w:eastAsia="ja-JP"/>
        </w:rPr>
      </w:pPr>
      <w:r>
        <w:rPr>
          <w:lang w:eastAsia="ja-JP"/>
        </w:rPr>
        <w:t>1</w:t>
      </w:r>
      <w:r>
        <w:rPr>
          <w:lang w:eastAsia="ja-JP"/>
        </w:rPr>
        <w:tab/>
        <w:t xml:space="preserve">to conduct compatibility studies in order to provide technical measures to ensure coexistence between the MSS in the frequency band 1 518-1 525 MHz and IMT in the frequency band 1 492-1 518 MHz, including guidance on the implementation of frequency arrangements for IMT deployment in the frequency band 1 427-1 518 MHz, taking into account the results of these </w:t>
      </w:r>
      <w:proofErr w:type="gramStart"/>
      <w:r>
        <w:rPr>
          <w:lang w:eastAsia="ja-JP"/>
        </w:rPr>
        <w:t>studies;</w:t>
      </w:r>
      <w:proofErr w:type="gramEnd"/>
    </w:p>
    <w:p w14:paraId="6D9CA1EE" w14:textId="77777777" w:rsidR="0096367D" w:rsidRDefault="0096367D" w:rsidP="0096367D">
      <w:pPr>
        <w:rPr>
          <w:lang w:eastAsia="zh-CN"/>
        </w:rPr>
      </w:pPr>
      <w:r>
        <w:rPr>
          <w:lang w:eastAsia="zh-CN"/>
        </w:rPr>
        <w:t>2</w:t>
      </w:r>
      <w:r>
        <w:rPr>
          <w:lang w:eastAsia="zh-CN"/>
        </w:rPr>
        <w:tab/>
        <w:t>to study the technical and regulatory conditions for the protection of</w:t>
      </w:r>
      <w:r>
        <w:t xml:space="preserve"> stations of the AMS and the maritime mobile service (MMS) located in international airspace or waters (</w:t>
      </w:r>
      <w:proofErr w:type="gramStart"/>
      <w:r>
        <w:t>i.e.</w:t>
      </w:r>
      <w:proofErr w:type="gramEnd"/>
      <w:r>
        <w:t xml:space="preserve"> outside national territories) and operated </w:t>
      </w:r>
      <w:r>
        <w:rPr>
          <w:lang w:eastAsia="zh-CN"/>
        </w:rPr>
        <w:t>in the frequency band 4 800-4 990 MHz;</w:t>
      </w:r>
    </w:p>
    <w:p w14:paraId="2CFD19F4" w14:textId="77777777" w:rsidR="0096367D" w:rsidRDefault="0096367D" w:rsidP="0096367D">
      <w:r>
        <w:t>3</w:t>
      </w:r>
      <w:r>
        <w:tab/>
        <w:t xml:space="preserve">to continue providing guidance to ensure that IMT can meet the telecommunication needs of developing countries and rural </w:t>
      </w:r>
      <w:proofErr w:type="gramStart"/>
      <w:r>
        <w:t>areas;</w:t>
      </w:r>
      <w:proofErr w:type="gramEnd"/>
    </w:p>
    <w:p w14:paraId="04D96E1A" w14:textId="77777777" w:rsidR="0096367D" w:rsidRDefault="0096367D" w:rsidP="0096367D">
      <w:pPr>
        <w:rPr>
          <w:rFonts w:eastAsia="???"/>
        </w:rPr>
      </w:pPr>
      <w:r>
        <w:rPr>
          <w:rFonts w:eastAsia="???"/>
        </w:rPr>
        <w:t>4</w:t>
      </w:r>
      <w:r>
        <w:rPr>
          <w:rFonts w:eastAsia="???"/>
        </w:rPr>
        <w:tab/>
        <w:t xml:space="preserve">to include the results of the studies mentioned in </w:t>
      </w:r>
      <w:r>
        <w:rPr>
          <w:rFonts w:eastAsia="???"/>
          <w:i/>
        </w:rPr>
        <w:t>invites the ITU Radiocommunication Sector</w:t>
      </w:r>
      <w:r>
        <w:rPr>
          <w:rFonts w:eastAsia="???"/>
        </w:rPr>
        <w:t xml:space="preserve"> above in one or more ITU</w:t>
      </w:r>
      <w:r>
        <w:rPr>
          <w:rFonts w:eastAsia="???"/>
        </w:rPr>
        <w:noBreakHyphen/>
        <w:t>R Recommendations and Reports, as appropriate,</w:t>
      </w:r>
    </w:p>
    <w:p w14:paraId="2461815C" w14:textId="77777777" w:rsidR="0096367D" w:rsidRDefault="0096367D" w:rsidP="0096367D">
      <w:pPr>
        <w:pStyle w:val="Call"/>
        <w:rPr>
          <w:lang w:eastAsia="zh-CN"/>
        </w:rPr>
      </w:pPr>
      <w:r>
        <w:rPr>
          <w:lang w:eastAsia="zh-CN"/>
        </w:rPr>
        <w:t>invites the 2023 World Radiocommunication Conference</w:t>
      </w:r>
    </w:p>
    <w:p w14:paraId="4BAC7CD0" w14:textId="77777777" w:rsidR="0096367D" w:rsidRDefault="0096367D" w:rsidP="0096367D">
      <w:pPr>
        <w:rPr>
          <w:rFonts w:eastAsia="???"/>
        </w:rPr>
      </w:pPr>
      <w:r>
        <w:rPr>
          <w:lang w:eastAsia="zh-CN"/>
        </w:rPr>
        <w:t xml:space="preserve">to consider, based on the results of the studies referred to in </w:t>
      </w:r>
      <w:r>
        <w:rPr>
          <w:i/>
          <w:iCs/>
          <w:lang w:eastAsia="zh-CN"/>
        </w:rPr>
        <w:t>invites the ITU Radiocommunication Sector</w:t>
      </w:r>
      <w:r>
        <w:rPr>
          <w:lang w:eastAsia="zh-CN"/>
        </w:rPr>
        <w:t xml:space="preserve"> above, possible</w:t>
      </w:r>
      <w:r>
        <w:t xml:space="preserve"> measures to address, in the frequency band 4 800-4 990 MHz, protection of stations of the AMS and MMS located in international airspace and waters from other stations located within national territories and to review the </w:t>
      </w:r>
      <w:proofErr w:type="spellStart"/>
      <w:r>
        <w:t>pfd</w:t>
      </w:r>
      <w:proofErr w:type="spellEnd"/>
      <w:r>
        <w:t xml:space="preserve"> criteria in No. </w:t>
      </w:r>
      <w:r>
        <w:rPr>
          <w:b/>
          <w:bCs/>
        </w:rPr>
        <w:t>5.441B</w:t>
      </w:r>
      <w:r>
        <w:t>.</w:t>
      </w:r>
    </w:p>
    <w:p w14:paraId="6559ABDC" w14:textId="5F69C216" w:rsidR="0096367D" w:rsidRDefault="0096367D" w:rsidP="0096367D">
      <w:pPr>
        <w:rPr>
          <w:rFonts w:eastAsia="SimSun"/>
        </w:rPr>
      </w:pPr>
    </w:p>
    <w:p w14:paraId="77479C62" w14:textId="77777777" w:rsidR="00BF28CD" w:rsidRDefault="00BF28CD" w:rsidP="0096367D">
      <w:pPr>
        <w:rPr>
          <w:rFonts w:eastAsia="SimSun"/>
        </w:rPr>
      </w:pPr>
    </w:p>
    <w:p w14:paraId="6F476D0C" w14:textId="77777777" w:rsidR="00451496" w:rsidRPr="00451496" w:rsidRDefault="00451496" w:rsidP="00451496">
      <w:pPr>
        <w:rPr>
          <w:rFonts w:eastAsia="SimSun"/>
        </w:rPr>
      </w:pPr>
    </w:p>
    <w:p w14:paraId="0E190558" w14:textId="100BF0E9" w:rsidR="00451496" w:rsidRPr="00451496" w:rsidRDefault="00451496" w:rsidP="00451496">
      <w:pPr>
        <w:tabs>
          <w:tab w:val="left" w:pos="7340"/>
        </w:tabs>
        <w:rPr>
          <w:rFonts w:eastAsia="SimSun"/>
        </w:rPr>
      </w:pPr>
      <w:r>
        <w:rPr>
          <w:rFonts w:eastAsia="SimSun"/>
        </w:rPr>
        <w:tab/>
      </w:r>
    </w:p>
    <w:p w14:paraId="3C22FF86" w14:textId="70EEB112" w:rsidR="00451496" w:rsidRPr="00451496" w:rsidRDefault="00451496" w:rsidP="00451496">
      <w:pPr>
        <w:tabs>
          <w:tab w:val="left" w:pos="7340"/>
        </w:tabs>
        <w:rPr>
          <w:rFonts w:eastAsia="SimSun"/>
        </w:rPr>
        <w:sectPr w:rsidR="00451496" w:rsidRPr="00451496" w:rsidSect="0050189C">
          <w:pgSz w:w="11909" w:h="16834" w:code="9"/>
          <w:pgMar w:top="1195" w:right="1152" w:bottom="1138" w:left="1440" w:header="720" w:footer="720" w:gutter="0"/>
          <w:cols w:space="720"/>
          <w:titlePg/>
          <w:docGrid w:linePitch="360"/>
        </w:sectPr>
      </w:pPr>
      <w:r>
        <w:rPr>
          <w:rFonts w:eastAsia="SimSun"/>
        </w:rPr>
        <w:tab/>
      </w:r>
    </w:p>
    <w:p w14:paraId="25B18109" w14:textId="77777777" w:rsidR="0096367D" w:rsidRPr="001E6BDA" w:rsidRDefault="0096367D" w:rsidP="0096367D">
      <w:pPr>
        <w:jc w:val="center"/>
        <w:rPr>
          <w:rFonts w:eastAsia="SimSun"/>
          <w:b/>
          <w:bCs/>
          <w:sz w:val="28"/>
          <w:szCs w:val="28"/>
          <w:u w:val="single"/>
        </w:rPr>
      </w:pPr>
      <w:r w:rsidRPr="001E6BDA">
        <w:rPr>
          <w:rFonts w:eastAsia="SimSun"/>
          <w:b/>
          <w:bCs/>
          <w:sz w:val="28"/>
          <w:szCs w:val="28"/>
          <w:u w:val="single"/>
        </w:rPr>
        <w:lastRenderedPageBreak/>
        <w:t xml:space="preserve">ATTACHMENT </w:t>
      </w:r>
      <w:r>
        <w:rPr>
          <w:rFonts w:eastAsia="SimSun"/>
          <w:b/>
          <w:bCs/>
          <w:sz w:val="28"/>
          <w:szCs w:val="28"/>
          <w:u w:val="single"/>
        </w:rPr>
        <w:t>3</w:t>
      </w:r>
    </w:p>
    <w:p w14:paraId="25B00971" w14:textId="77777777" w:rsidR="0096367D" w:rsidRDefault="0096367D" w:rsidP="0096367D">
      <w:pPr>
        <w:rPr>
          <w:rFonts w:eastAsia="SimSun"/>
        </w:rPr>
      </w:pPr>
    </w:p>
    <w:p w14:paraId="6D66FF5A" w14:textId="77777777" w:rsidR="0096367D" w:rsidRDefault="0096367D" w:rsidP="0096367D">
      <w:pPr>
        <w:rPr>
          <w:rFonts w:eastAsia="SimSun"/>
        </w:rPr>
      </w:pPr>
    </w:p>
    <w:p w14:paraId="235F0E97" w14:textId="77777777" w:rsidR="0096367D" w:rsidRDefault="0096367D" w:rsidP="0096367D">
      <w:pPr>
        <w:rPr>
          <w:rFonts w:eastAsia="SimSun"/>
        </w:rPr>
      </w:pPr>
    </w:p>
    <w:p w14:paraId="10BF8A1B" w14:textId="42C961B3" w:rsidR="0096367D" w:rsidRPr="002579BB" w:rsidRDefault="0096367D" w:rsidP="0096367D">
      <w:pPr>
        <w:rPr>
          <w:rFonts w:eastAsia="SimSun"/>
          <w:b/>
          <w:bCs/>
        </w:rPr>
      </w:pPr>
      <w:r w:rsidRPr="002579BB">
        <w:rPr>
          <w:rFonts w:eastAsia="SimSun"/>
          <w:b/>
          <w:bCs/>
        </w:rPr>
        <w:t>Notes in the ITU Recommendation M.1036-6 that are relevant for the frequency range 1920 – 2020 / 2110 – 2200 MHz</w:t>
      </w:r>
      <w:r>
        <w:rPr>
          <w:rFonts w:eastAsia="SimSun"/>
          <w:b/>
          <w:bCs/>
        </w:rPr>
        <w:t xml:space="preserve"> (See Table 1 in Section 1 </w:t>
      </w:r>
      <w:r w:rsidR="001D55AE">
        <w:rPr>
          <w:rFonts w:eastAsia="SimSun"/>
          <w:b/>
          <w:bCs/>
        </w:rPr>
        <w:t>Background</w:t>
      </w:r>
      <w:r>
        <w:rPr>
          <w:rFonts w:eastAsia="SimSun"/>
          <w:b/>
          <w:bCs/>
        </w:rPr>
        <w:t>)</w:t>
      </w:r>
      <w:r w:rsidRPr="002579BB">
        <w:rPr>
          <w:rFonts w:eastAsia="SimSun"/>
          <w:b/>
          <w:bCs/>
        </w:rPr>
        <w:t>.</w:t>
      </w:r>
    </w:p>
    <w:p w14:paraId="1F21D9B8" w14:textId="77777777" w:rsidR="0096367D" w:rsidRDefault="0096367D" w:rsidP="0096367D">
      <w:pPr>
        <w:rPr>
          <w:rFonts w:eastAsia="SimSun"/>
        </w:rPr>
      </w:pPr>
    </w:p>
    <w:p w14:paraId="70AA2C40" w14:textId="77777777" w:rsidR="0096367D" w:rsidRPr="00A20C33" w:rsidRDefault="0096367D" w:rsidP="0096367D">
      <w:pPr>
        <w:tabs>
          <w:tab w:val="left" w:pos="284"/>
        </w:tabs>
        <w:spacing w:before="80"/>
        <w:rPr>
          <w:lang w:val="en-GB"/>
        </w:rPr>
      </w:pPr>
      <w:r w:rsidRPr="002579BB">
        <w:rPr>
          <w:i/>
          <w:iCs/>
          <w:lang w:val="en-GB"/>
        </w:rPr>
        <w:t>Note 1</w:t>
      </w:r>
      <w:r w:rsidRPr="002579BB">
        <w:rPr>
          <w:lang w:val="en-GB"/>
        </w:rPr>
        <w:t>:</w:t>
      </w:r>
      <w:r w:rsidRPr="00A20C33">
        <w:rPr>
          <w:lang w:val="en-GB"/>
        </w:rPr>
        <w:t xml:space="preserve"> In the band 1 710-2 025 MHz and 2 110-2 200 MHz three basic frequency arrangements (B1, B2 and B3) are already in use or planned to be used by public mobile cellular systems including IMT. Based on these three arrangements, different combinations of arrangements are recommended as described in B4 and B5. The B1 arrangement and the B2 arrangement are fully complementary, whereas the B3 arrangement partly overlaps with the B1 and B2 arrangements. </w:t>
      </w:r>
    </w:p>
    <w:p w14:paraId="4B708D3C" w14:textId="77777777" w:rsidR="0096367D" w:rsidRPr="00A20C33" w:rsidRDefault="0096367D" w:rsidP="0096367D">
      <w:pPr>
        <w:tabs>
          <w:tab w:val="left" w:pos="284"/>
        </w:tabs>
        <w:spacing w:before="80"/>
        <w:rPr>
          <w:lang w:val="en-GB"/>
        </w:rPr>
      </w:pPr>
      <w:r w:rsidRPr="00A20C33">
        <w:rPr>
          <w:lang w:val="en-GB"/>
        </w:rPr>
        <w:t>For administrations having implemented the B1 arrangement, B4 enables optimization of the use of spectrum for paired IMT operation.</w:t>
      </w:r>
    </w:p>
    <w:p w14:paraId="37E7058C" w14:textId="77777777" w:rsidR="0096367D" w:rsidRPr="00A20C33" w:rsidRDefault="0096367D" w:rsidP="0096367D">
      <w:pPr>
        <w:tabs>
          <w:tab w:val="left" w:pos="284"/>
        </w:tabs>
        <w:spacing w:before="80"/>
        <w:rPr>
          <w:lang w:val="en-GB"/>
        </w:rPr>
      </w:pPr>
      <w:r w:rsidRPr="00A20C33">
        <w:rPr>
          <w:lang w:val="en-GB"/>
        </w:rPr>
        <w:t>For administrations having implemented the B3 arrangement, the B1 arrangement can be combined with the B2 arrangement. B5 is therefore recommended to optimize the use of the spectrum:</w:t>
      </w:r>
    </w:p>
    <w:p w14:paraId="34CCA207" w14:textId="77777777" w:rsidR="0096367D" w:rsidRPr="00A20C33" w:rsidRDefault="0096367D" w:rsidP="0096367D">
      <w:pPr>
        <w:pStyle w:val="enumlev1"/>
        <w:rPr>
          <w:lang w:val="en-GB"/>
        </w:rPr>
      </w:pPr>
      <w:r w:rsidRPr="00A20C33">
        <w:rPr>
          <w:lang w:val="en-GB"/>
        </w:rPr>
        <w:t>–</w:t>
      </w:r>
      <w:r w:rsidRPr="00A20C33">
        <w:rPr>
          <w:lang w:val="en-GB"/>
        </w:rPr>
        <w:tab/>
        <w:t>B5 enables the use of spectrum to be maximized for IMT in administrations where B3 is implemented and where the band 1 770</w:t>
      </w:r>
      <w:r w:rsidRPr="00A20C33">
        <w:rPr>
          <w:lang w:val="en-GB"/>
        </w:rPr>
        <w:noBreakHyphen/>
        <w:t>1 850 MHz is not available in the initial phase of deployment of IMT in this frequency band.</w:t>
      </w:r>
    </w:p>
    <w:p w14:paraId="2970BC0A" w14:textId="77777777" w:rsidR="0096367D" w:rsidRPr="00A20C33" w:rsidRDefault="0096367D" w:rsidP="0096367D">
      <w:pPr>
        <w:tabs>
          <w:tab w:val="left" w:pos="284"/>
        </w:tabs>
        <w:spacing w:before="80"/>
        <w:rPr>
          <w:lang w:val="en-GB"/>
        </w:rPr>
      </w:pPr>
      <w:r w:rsidRPr="002579BB">
        <w:rPr>
          <w:i/>
          <w:iCs/>
          <w:lang w:val="en-GB"/>
        </w:rPr>
        <w:t>Note 2:</w:t>
      </w:r>
      <w:r w:rsidRPr="00A20C33">
        <w:rPr>
          <w:lang w:val="en-GB"/>
        </w:rPr>
        <w:t xml:space="preserve"> TDD may be introduced in unpaired bands </w:t>
      </w:r>
      <w:proofErr w:type="gramStart"/>
      <w:r w:rsidRPr="00A20C33">
        <w:rPr>
          <w:lang w:val="en-GB"/>
        </w:rPr>
        <w:t>and also</w:t>
      </w:r>
      <w:proofErr w:type="gramEnd"/>
      <w:r w:rsidRPr="00A20C33">
        <w:rPr>
          <w:lang w:val="en-GB"/>
        </w:rPr>
        <w:t xml:space="preserve"> under certain conditions in the uplink bands of paired frequency arrangements and/or in the centre gap between paired bands.</w:t>
      </w:r>
    </w:p>
    <w:p w14:paraId="64EA88C6" w14:textId="77777777" w:rsidR="0096367D" w:rsidRPr="00A20C33" w:rsidRDefault="0096367D" w:rsidP="0096367D">
      <w:pPr>
        <w:tabs>
          <w:tab w:val="left" w:pos="284"/>
        </w:tabs>
        <w:spacing w:before="80"/>
        <w:rPr>
          <w:lang w:val="en-GB"/>
        </w:rPr>
      </w:pPr>
      <w:r w:rsidRPr="002579BB">
        <w:rPr>
          <w:i/>
          <w:iCs/>
          <w:lang w:val="en-GB"/>
        </w:rPr>
        <w:t>Note 4:</w:t>
      </w:r>
      <w:r w:rsidRPr="00A20C33">
        <w:rPr>
          <w:lang w:val="en-GB"/>
        </w:rPr>
        <w:t> The bands 1 980-2 010 MHz and 2 170-2 200 MHz in the frequency arrangement B6 are intended to be used in combination with the frequency arrangements B1 or B4 which provides even further optimization of the use of spectrum for paired IMT operation (see Note 1).</w:t>
      </w:r>
    </w:p>
    <w:p w14:paraId="148DF62A" w14:textId="77777777" w:rsidR="0096367D" w:rsidRPr="00A20C33" w:rsidRDefault="0096367D" w:rsidP="0096367D">
      <w:pPr>
        <w:tabs>
          <w:tab w:val="left" w:pos="284"/>
        </w:tabs>
        <w:spacing w:before="80"/>
        <w:rPr>
          <w:lang w:val="en-GB"/>
        </w:rPr>
      </w:pPr>
      <w:r w:rsidRPr="002579BB">
        <w:rPr>
          <w:i/>
          <w:iCs/>
          <w:lang w:val="en-GB"/>
        </w:rPr>
        <w:t>Note 5:</w:t>
      </w:r>
      <w:r w:rsidRPr="00A20C33">
        <w:rPr>
          <w:lang w:val="en-GB"/>
        </w:rPr>
        <w:t xml:space="preserve"> A unique situation exists for the frequency arrangements B6 and B7 and parts of arrangements B3 and B5 in the bands 1 980-2 010 MHz and 2 170-2 200 MHz, which have been identified for the terrestrial component of IMT and the satellite component of IMT as outlined in </w:t>
      </w:r>
      <w:r w:rsidRPr="002579BB">
        <w:rPr>
          <w:lang w:val="en-GB"/>
        </w:rPr>
        <w:t>recognizing d).</w:t>
      </w:r>
      <w:r>
        <w:rPr>
          <w:lang w:val="en-GB"/>
        </w:rPr>
        <w:t xml:space="preserve"> </w:t>
      </w:r>
      <w:r w:rsidRPr="00A20C33">
        <w:rPr>
          <w:lang w:val="en-GB"/>
        </w:rPr>
        <w:t>Co</w:t>
      </w:r>
      <w:r w:rsidRPr="00A20C33">
        <w:rPr>
          <w:lang w:val="en-GB"/>
        </w:rPr>
        <w:noBreakHyphen/>
        <w:t>coverage, co</w:t>
      </w:r>
      <w:r>
        <w:rPr>
          <w:lang w:val="en-GB"/>
        </w:rPr>
        <w:noBreakHyphen/>
      </w:r>
      <w:r w:rsidRPr="00A20C33">
        <w:rPr>
          <w:lang w:val="en-GB"/>
        </w:rPr>
        <w:t>frequency deployment of independent satellite and terrestrial IMT components is not feasible unless appropriate mitigation techniques are applied. When these components are deployed in adjacent geographical areas in the same frequency bands, technical or operational measures need to be implemented if harmful interference is reported. Further studies may be carried out by ITU</w:t>
      </w:r>
      <w:r w:rsidRPr="00A20C33">
        <w:rPr>
          <w:lang w:val="en-GB"/>
        </w:rPr>
        <w:noBreakHyphen/>
        <w:t xml:space="preserve">R, as appropriate, </w:t>
      </w:r>
      <w:proofErr w:type="gramStart"/>
      <w:r w:rsidRPr="00A20C33">
        <w:rPr>
          <w:lang w:val="en-GB"/>
        </w:rPr>
        <w:t>taking into account</w:t>
      </w:r>
      <w:proofErr w:type="gramEnd"/>
      <w:r w:rsidRPr="00A20C33">
        <w:rPr>
          <w:lang w:val="en-GB"/>
        </w:rPr>
        <w:t xml:space="preserve"> the results of WRC-19.</w:t>
      </w:r>
    </w:p>
    <w:p w14:paraId="4576DF28" w14:textId="3711DB23" w:rsidR="0096367D" w:rsidRDefault="006968A5" w:rsidP="006968A5">
      <w:pPr>
        <w:jc w:val="center"/>
        <w:rPr>
          <w:i/>
        </w:rPr>
      </w:pPr>
      <w:r>
        <w:rPr>
          <w:lang w:val="en-GB"/>
        </w:rPr>
        <w:t>_______________</w:t>
      </w:r>
    </w:p>
    <w:sectPr w:rsidR="0096367D" w:rsidSect="0050189C">
      <w:headerReference w:type="default" r:id="rId23"/>
      <w:footerReference w:type="even" r:id="rId24"/>
      <w:footerReference w:type="default" r:id="rId2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983D" w14:textId="77777777" w:rsidR="003C73BF" w:rsidRDefault="003C73BF" w:rsidP="00A7371F">
      <w:r>
        <w:separator/>
      </w:r>
    </w:p>
  </w:endnote>
  <w:endnote w:type="continuationSeparator" w:id="0">
    <w:p w14:paraId="29941467" w14:textId="77777777" w:rsidR="003C73BF" w:rsidRDefault="003C73BF" w:rsidP="00A7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굴림체">
    <w:altName w:val="GulimChe"/>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CBF" w14:textId="77777777" w:rsidR="00FF4DE3" w:rsidRDefault="00FF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BD695" w14:textId="77777777" w:rsidR="00FF4DE3" w:rsidRDefault="00FF4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BC21" w14:textId="56957F6C" w:rsidR="00FF4DE3" w:rsidRPr="003838A2" w:rsidRDefault="00FF4DE3" w:rsidP="001417BD">
    <w:pPr>
      <w:pStyle w:val="Footer"/>
    </w:pPr>
    <w:r>
      <w:tab/>
    </w:r>
    <w:r>
      <w:tab/>
    </w:r>
    <w:r w:rsidRPr="003838A2">
      <w:t xml:space="preserve">Page </w:t>
    </w:r>
    <w:r w:rsidRPr="003838A2">
      <w:fldChar w:fldCharType="begin"/>
    </w:r>
    <w:r w:rsidRPr="003838A2">
      <w:instrText xml:space="preserve"> PAGE </w:instrText>
    </w:r>
    <w:r w:rsidRPr="003838A2">
      <w:fldChar w:fldCharType="separate"/>
    </w:r>
    <w:r>
      <w:rPr>
        <w:noProof/>
      </w:rPr>
      <w:t>16</w:t>
    </w:r>
    <w:r w:rsidRPr="003838A2">
      <w:fldChar w:fldCharType="end"/>
    </w:r>
    <w:r w:rsidRPr="003838A2">
      <w:t xml:space="preserve"> of </w:t>
    </w:r>
    <w:fldSimple w:instr=" NUMPAGES  ">
      <w:r>
        <w:rPr>
          <w:noProof/>
        </w:rPr>
        <w:t>17</w:t>
      </w:r>
    </w:fldSimple>
  </w:p>
  <w:p w14:paraId="3B5032CD" w14:textId="77777777" w:rsidR="00FF4DE3" w:rsidRDefault="00FF4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6F23" w14:textId="1B71B045" w:rsidR="00451496" w:rsidRDefault="00451496" w:rsidP="00451496">
    <w:pPr>
      <w:pStyle w:val="Footer"/>
      <w:jc w:val="center"/>
    </w:pPr>
    <w:r>
      <w:t xml:space="preserve">                                                                                                                 </w:t>
    </w:r>
    <w:r w:rsidRPr="003838A2">
      <w:t xml:space="preserve">Page </w:t>
    </w:r>
    <w:r w:rsidRPr="003838A2">
      <w:fldChar w:fldCharType="begin"/>
    </w:r>
    <w:r w:rsidRPr="003838A2">
      <w:instrText xml:space="preserve"> PAGE </w:instrText>
    </w:r>
    <w:r w:rsidRPr="003838A2">
      <w:fldChar w:fldCharType="separate"/>
    </w:r>
    <w:r>
      <w:t>19</w:t>
    </w:r>
    <w:r w:rsidRPr="003838A2">
      <w:fldChar w:fldCharType="end"/>
    </w:r>
    <w:r w:rsidRPr="003838A2">
      <w:t xml:space="preserve"> of </w:t>
    </w:r>
    <w:fldSimple w:instr=" NUMPAGES  ">
      <w:r>
        <w:rPr>
          <w:noProof/>
        </w:rPr>
        <w:t>21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9EB" w14:textId="77777777" w:rsidR="00FF4DE3" w:rsidRDefault="00FF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D2698" w14:textId="77777777" w:rsidR="00FF4DE3" w:rsidRDefault="00FF4DE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FD6A" w14:textId="77777777" w:rsidR="00FF4DE3" w:rsidRDefault="00FF4DE3" w:rsidP="0050189C">
    <w:pPr>
      <w:pStyle w:val="Footer"/>
    </w:pPr>
    <w:r>
      <w:rPr>
        <w:rFonts w:hint="eastAsia"/>
        <w:lang w:eastAsia="ko-KR"/>
      </w:rPr>
      <w:t>A</w:t>
    </w:r>
    <w:r>
      <w:rPr>
        <w:lang w:eastAsia="ko-KR"/>
      </w:rPr>
      <w:t>W</w:t>
    </w:r>
    <w:r>
      <w:rPr>
        <w:rFonts w:eastAsia="SimSun" w:hint="eastAsia"/>
        <w:lang w:eastAsia="zh-CN"/>
      </w:rPr>
      <w:t>G</w:t>
    </w:r>
    <w:r>
      <w:rPr>
        <w:rFonts w:hint="eastAsia"/>
        <w:lang w:eastAsia="ko-KR"/>
      </w:rPr>
      <w:t>-</w:t>
    </w:r>
    <w:r>
      <w:rPr>
        <w:rFonts w:eastAsia="SimSun"/>
        <w:lang w:eastAsia="zh-CN"/>
      </w:rPr>
      <w:t>2</w:t>
    </w:r>
    <w:r>
      <w:rPr>
        <w:rFonts w:eastAsia="MS PGothic"/>
        <w:lang w:eastAsia="ja-JP"/>
      </w:rPr>
      <w:t>6</w:t>
    </w:r>
    <w:r>
      <w:rPr>
        <w:rFonts w:hint="eastAsia"/>
        <w:lang w:eastAsia="ko-KR"/>
      </w:rPr>
      <w:t>/</w:t>
    </w:r>
    <w:r>
      <w:rPr>
        <w:lang w:eastAsia="ko-KR"/>
      </w:rPr>
      <w:t>TMP-41</w:t>
    </w:r>
    <w:r>
      <w:tab/>
    </w:r>
    <w:r>
      <w:tab/>
      <w:t xml:space="preserve">Page </w:t>
    </w:r>
    <w:r>
      <w:rPr>
        <w:b/>
      </w:rPr>
      <w:fldChar w:fldCharType="begin"/>
    </w:r>
    <w:r>
      <w:rPr>
        <w:b/>
      </w:rPr>
      <w:instrText xml:space="preserve"> PAGE </w:instrText>
    </w:r>
    <w:r>
      <w:rPr>
        <w:b/>
      </w:rPr>
      <w:fldChar w:fldCharType="separate"/>
    </w:r>
    <w:r>
      <w:rPr>
        <w:b/>
        <w:noProof/>
      </w:rPr>
      <w:t>43</w:t>
    </w:r>
    <w:r>
      <w:rPr>
        <w:b/>
      </w:rPr>
      <w:fldChar w:fldCharType="end"/>
    </w:r>
    <w:r>
      <w:t xml:space="preserve"> of </w:t>
    </w:r>
    <w:r>
      <w:rPr>
        <w:b/>
      </w:rPr>
      <w:fldChar w:fldCharType="begin"/>
    </w:r>
    <w:r>
      <w:rPr>
        <w:b/>
      </w:rPr>
      <w:instrText xml:space="preserve"> NUMPAGES  </w:instrText>
    </w:r>
    <w:r>
      <w:rPr>
        <w:b/>
      </w:rPr>
      <w:fldChar w:fldCharType="separate"/>
    </w:r>
    <w:r>
      <w:rPr>
        <w:b/>
        <w:noProof/>
      </w:rPr>
      <w:t>44</w:t>
    </w:r>
    <w:r>
      <w:rPr>
        <w:b/>
      </w:rPr>
      <w:fldChar w:fldCharType="end"/>
    </w:r>
  </w:p>
  <w:p w14:paraId="401F9516" w14:textId="77777777" w:rsidR="00FF4DE3" w:rsidRDefault="00FF4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9937" w14:textId="77777777" w:rsidR="003C73BF" w:rsidRDefault="003C73BF" w:rsidP="00A7371F">
      <w:r>
        <w:separator/>
      </w:r>
    </w:p>
  </w:footnote>
  <w:footnote w:type="continuationSeparator" w:id="0">
    <w:p w14:paraId="0739D261" w14:textId="77777777" w:rsidR="003C73BF" w:rsidRDefault="003C73BF" w:rsidP="00A7371F">
      <w:r>
        <w:continuationSeparator/>
      </w:r>
    </w:p>
  </w:footnote>
  <w:footnote w:id="1">
    <w:p w14:paraId="78A40256" w14:textId="77777777" w:rsidR="00FF4DE3" w:rsidRPr="00656E5B" w:rsidRDefault="00FF4DE3" w:rsidP="0096367D">
      <w:pPr>
        <w:pStyle w:val="FootnoteText"/>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WRC-12.</w:t>
      </w:r>
    </w:p>
  </w:footnote>
  <w:footnote w:id="2">
    <w:p w14:paraId="46FA8C49" w14:textId="77777777" w:rsidR="00FF4DE3" w:rsidRPr="000B03BA" w:rsidRDefault="00FF4DE3">
      <w:pPr>
        <w:pStyle w:val="FootnoteText"/>
        <w:rPr>
          <w:rFonts w:eastAsiaTheme="minorEastAsia"/>
          <w:lang w:val="fr-FR" w:eastAsia="zh-CN"/>
        </w:rPr>
      </w:pPr>
      <w:r>
        <w:rPr>
          <w:rStyle w:val="FootnoteReference"/>
        </w:rPr>
        <w:footnoteRef/>
      </w:r>
      <w:r w:rsidRPr="000B03BA">
        <w:rPr>
          <w:lang w:val="fr-FR"/>
        </w:rPr>
        <w:t xml:space="preserve"> Global mobile Suppliers Association (GSA)</w:t>
      </w:r>
    </w:p>
  </w:footnote>
  <w:footnote w:id="3">
    <w:p w14:paraId="23EE5C2A" w14:textId="77777777" w:rsidR="00FF4DE3" w:rsidRDefault="00FF4DE3" w:rsidP="0096367D">
      <w:pPr>
        <w:pStyle w:val="FootnoteText"/>
      </w:pPr>
      <w:r>
        <w:rPr>
          <w:rStyle w:val="FootnoteReference"/>
        </w:rPr>
        <w:t>1</w:t>
      </w:r>
      <w:r>
        <w:t xml:space="preserve"> </w:t>
      </w:r>
      <w:r>
        <w:tab/>
        <w:t>See user terminal characteristics in Report ITU-R M.2292.</w:t>
      </w:r>
    </w:p>
  </w:footnote>
  <w:footnote w:id="4">
    <w:p w14:paraId="0A52742E" w14:textId="77777777" w:rsidR="00FF4DE3" w:rsidRDefault="00FF4DE3" w:rsidP="0096367D">
      <w:pPr>
        <w:pStyle w:val="FootnoteText"/>
      </w:pPr>
      <w:r>
        <w:rPr>
          <w:rStyle w:val="FootnoteReference"/>
        </w:rPr>
        <w:t>2</w:t>
      </w:r>
      <w:r>
        <w:t xml:space="preserve"> </w:t>
      </w:r>
      <w:r>
        <w:tab/>
        <w:t xml:space="preserve">See Resolution </w:t>
      </w:r>
      <w:r>
        <w:rPr>
          <w:b/>
          <w:bCs/>
        </w:rPr>
        <w:t>539 (Rev.WRC</w:t>
      </w:r>
      <w:r>
        <w:noBreakHyphen/>
      </w:r>
      <w:r>
        <w:rPr>
          <w:b/>
          <w:bCs/>
        </w:rPr>
        <w:t>19)</w:t>
      </w:r>
      <w:r>
        <w:t xml:space="preserve"> for the frequency band 2 605-2 655 MHz.</w:t>
      </w:r>
    </w:p>
  </w:footnote>
  <w:footnote w:id="5">
    <w:p w14:paraId="183FAFAD" w14:textId="77777777" w:rsidR="00FF4DE3" w:rsidRDefault="00FF4DE3" w:rsidP="0096367D">
      <w:pPr>
        <w:pStyle w:val="FootnoteText"/>
        <w:rPr>
          <w:lang w:eastAsia="ja-JP"/>
        </w:rPr>
      </w:pPr>
      <w:r>
        <w:rPr>
          <w:rStyle w:val="FootnoteReference"/>
        </w:rPr>
        <w:t>1</w:t>
      </w:r>
      <w:r>
        <w:t xml:space="preserve"> </w:t>
      </w:r>
      <w:r>
        <w:tab/>
        <w:t>See Table</w:t>
      </w:r>
      <w:r>
        <w:rPr>
          <w:lang w:eastAsia="ja-JP"/>
        </w:rPr>
        <w:t> </w:t>
      </w:r>
      <w:r>
        <w:rPr>
          <w:b/>
          <w:bCs/>
        </w:rPr>
        <w:t>21</w:t>
      </w:r>
      <w:r>
        <w:rPr>
          <w:b/>
          <w:bCs/>
          <w:lang w:eastAsia="ja-JP"/>
        </w:rPr>
        <w:noBreakHyphen/>
      </w:r>
      <w:r>
        <w:rPr>
          <w:b/>
          <w:bCs/>
        </w:rPr>
        <w:t>4</w:t>
      </w:r>
      <w:r>
        <w:t xml:space="preserve"> for applicable </w:t>
      </w:r>
      <w:proofErr w:type="spellStart"/>
      <w:r>
        <w:t>pfd</w:t>
      </w:r>
      <w:proofErr w:type="spellEnd"/>
      <w:r>
        <w:t xml:space="preserve">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68D" w14:textId="2FDA56BC" w:rsidR="00A63A0D" w:rsidRDefault="00A63A0D" w:rsidP="00A63A0D">
    <w:pPr>
      <w:tabs>
        <w:tab w:val="center" w:pos="4320"/>
        <w:tab w:val="right" w:pos="8640"/>
      </w:tabs>
      <w:jc w:val="center"/>
      <w:rPr>
        <w:bCs/>
      </w:rPr>
    </w:pPr>
    <w:r w:rsidRPr="006C6FA8">
      <w:rPr>
        <w:bCs/>
      </w:rPr>
      <w:t>APT/AWG/REP-12</w:t>
    </w:r>
    <w:r>
      <w:rPr>
        <w:bCs/>
      </w:rPr>
      <w:t>4</w:t>
    </w:r>
  </w:p>
  <w:p w14:paraId="11E41738" w14:textId="77777777" w:rsidR="00A63A0D" w:rsidRPr="006C6FA8" w:rsidRDefault="00A63A0D" w:rsidP="00A63A0D">
    <w:pPr>
      <w:tabs>
        <w:tab w:val="center" w:pos="4320"/>
        <w:tab w:val="right" w:pos="8640"/>
      </w:tabs>
      <w:jc w:val="center"/>
      <w:rPr>
        <w:bCs/>
      </w:rPr>
    </w:pPr>
  </w:p>
  <w:p w14:paraId="764E5827" w14:textId="77777777" w:rsidR="00FF4DE3" w:rsidRDefault="00FF4DE3">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E3E2" w14:textId="77777777" w:rsidR="00FF4DE3" w:rsidRDefault="00FF4DE3">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298"/>
    <w:multiLevelType w:val="hybridMultilevel"/>
    <w:tmpl w:val="13E22D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405351"/>
    <w:multiLevelType w:val="multilevel"/>
    <w:tmpl w:val="0B405351"/>
    <w:lvl w:ilvl="0">
      <w:start w:val="1"/>
      <w:numFmt w:val="decimal"/>
      <w:lvlText w:val="%1"/>
      <w:lvlJc w:val="left"/>
      <w:pPr>
        <w:ind w:left="432" w:hanging="432"/>
      </w:pPr>
      <w:rPr>
        <w:rFonts w:hint="default"/>
      </w:rPr>
    </w:lvl>
    <w:lvl w:ilvl="1" w:tentative="1">
      <w:start w:val="1"/>
      <w:numFmt w:val="decimal"/>
      <w:lvlText w:val="%1.%2"/>
      <w:lvlJc w:val="left"/>
      <w:pPr>
        <w:ind w:left="576" w:hanging="576"/>
      </w:pPr>
      <w:rPr>
        <w:rFonts w:ascii="Times New Roman" w:hAnsi="Times New Roman" w:cs="Times New Roman" w:hint="default"/>
      </w:rPr>
    </w:lvl>
    <w:lvl w:ilvl="2" w:tentative="1">
      <w:start w:val="1"/>
      <w:numFmt w:val="decimal"/>
      <w:lvlText w:val="%1.%2.%3"/>
      <w:lvlJc w:val="left"/>
      <w:pPr>
        <w:ind w:left="720" w:hanging="720"/>
      </w:pPr>
    </w:lvl>
    <w:lvl w:ilvl="3" w:tentative="1">
      <w:start w:val="1"/>
      <w:numFmt w:val="decimal"/>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 w15:restartNumberingAfterBreak="0">
    <w:nsid w:val="0B876153"/>
    <w:multiLevelType w:val="multilevel"/>
    <w:tmpl w:val="CCBCF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EC84BA1"/>
    <w:multiLevelType w:val="hybridMultilevel"/>
    <w:tmpl w:val="7122823A"/>
    <w:lvl w:ilvl="0" w:tplc="162E5A40">
      <w:start w:val="6"/>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F4D35"/>
    <w:multiLevelType w:val="hybridMultilevel"/>
    <w:tmpl w:val="54D02F4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5055D4F"/>
    <w:multiLevelType w:val="hybridMultilevel"/>
    <w:tmpl w:val="452C33C8"/>
    <w:lvl w:ilvl="0" w:tplc="C76AA6D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3630C0"/>
    <w:multiLevelType w:val="hybridMultilevel"/>
    <w:tmpl w:val="F74A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34CA7"/>
    <w:multiLevelType w:val="hybridMultilevel"/>
    <w:tmpl w:val="54C443E0"/>
    <w:lvl w:ilvl="0" w:tplc="D5F0DF2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FBC7FCF"/>
    <w:multiLevelType w:val="multilevel"/>
    <w:tmpl w:val="2FBC7FCF"/>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14571AF"/>
    <w:multiLevelType w:val="multilevel"/>
    <w:tmpl w:val="314571AF"/>
    <w:lvl w:ilvl="0">
      <w:start w:val="1"/>
      <w:numFmt w:val="bullet"/>
      <w:lvlText w:val=""/>
      <w:lvlJc w:val="left"/>
      <w:pPr>
        <w:ind w:left="780" w:hanging="420"/>
      </w:pPr>
      <w:rPr>
        <w:rFonts w:ascii="Symbol" w:hAnsi="Symbol"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82B146E"/>
    <w:multiLevelType w:val="hybridMultilevel"/>
    <w:tmpl w:val="CE448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4C5179"/>
    <w:multiLevelType w:val="hybridMultilevel"/>
    <w:tmpl w:val="EFC62102"/>
    <w:lvl w:ilvl="0" w:tplc="ACEC6354">
      <w:start w:val="1"/>
      <w:numFmt w:val="lowerLetter"/>
      <w:lvlText w:val="%1)"/>
      <w:lvlJc w:val="left"/>
      <w:pPr>
        <w:ind w:left="720" w:hanging="72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9259D9"/>
    <w:multiLevelType w:val="hybridMultilevel"/>
    <w:tmpl w:val="735E41D8"/>
    <w:lvl w:ilvl="0" w:tplc="20024C66">
      <w:start w:val="1"/>
      <w:numFmt w:val="decimal"/>
      <w:lvlText w:val="%1"/>
      <w:lvlJc w:val="left"/>
      <w:pPr>
        <w:ind w:left="1145" w:hanging="720"/>
      </w:pPr>
      <w:rPr>
        <w:rFonts w:eastAsia="바탕체"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49B02884"/>
    <w:multiLevelType w:val="hybridMultilevel"/>
    <w:tmpl w:val="F86A8C06"/>
    <w:lvl w:ilvl="0" w:tplc="52A640C6">
      <w:start w:val="1"/>
      <w:numFmt w:val="bullet"/>
      <w:lvlText w:val=""/>
      <w:lvlJc w:val="left"/>
      <w:pPr>
        <w:ind w:left="840" w:hanging="420"/>
      </w:pPr>
      <w:rPr>
        <w:rFonts w:ascii="Wingdings" w:hAnsi="Wingdings" w:hint="default"/>
      </w:rPr>
    </w:lvl>
    <w:lvl w:ilvl="1" w:tplc="98741FD6">
      <w:start w:val="1"/>
      <w:numFmt w:val="bullet"/>
      <w:lvlText w:val="—"/>
      <w:lvlJc w:val="left"/>
      <w:pPr>
        <w:ind w:left="1260" w:hanging="420"/>
      </w:pPr>
      <w:rPr>
        <w:rFonts w:ascii="MS Mincho" w:eastAsia="MS Mincho" w:hAnsi="MS Mincho"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AC100E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4BEC62BE"/>
    <w:multiLevelType w:val="multilevel"/>
    <w:tmpl w:val="4BEC62BE"/>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800"/>
        </w:tabs>
        <w:ind w:left="800" w:hanging="400"/>
      </w:pPr>
      <w:rPr>
        <w:rFonts w:ascii="Courier New" w:hAnsi="Courier New" w:cs="Courier New" w:hint="default"/>
      </w:rPr>
    </w:lvl>
    <w:lvl w:ilvl="2">
      <w:start w:val="1"/>
      <w:numFmt w:val="bullet"/>
      <w:lvlText w:val="o"/>
      <w:lvlJc w:val="left"/>
      <w:pPr>
        <w:tabs>
          <w:tab w:val="left" w:pos="1200"/>
        </w:tabs>
        <w:ind w:left="1200" w:hanging="400"/>
      </w:pPr>
      <w:rPr>
        <w:rFonts w:ascii="Courier New" w:hAnsi="Courier New" w:cs="Courier New" w:hint="default"/>
      </w:rPr>
    </w:lvl>
    <w:lvl w:ilvl="3" w:tentative="1">
      <w:start w:val="1"/>
      <w:numFmt w:val="bullet"/>
      <w:lvlText w:val=""/>
      <w:lvlJc w:val="left"/>
      <w:pPr>
        <w:tabs>
          <w:tab w:val="left" w:pos="1600"/>
        </w:tabs>
        <w:ind w:left="1600" w:hanging="400"/>
      </w:pPr>
      <w:rPr>
        <w:rFonts w:ascii="Wingdings" w:hAnsi="Wingdings" w:hint="default"/>
      </w:rPr>
    </w:lvl>
    <w:lvl w:ilvl="4" w:tentative="1">
      <w:start w:val="1"/>
      <w:numFmt w:val="bullet"/>
      <w:lvlText w:val=""/>
      <w:lvlJc w:val="left"/>
      <w:pPr>
        <w:tabs>
          <w:tab w:val="left" w:pos="2000"/>
        </w:tabs>
        <w:ind w:left="2000" w:hanging="400"/>
      </w:pPr>
      <w:rPr>
        <w:rFonts w:ascii="Wingdings" w:hAnsi="Wingdings" w:hint="default"/>
      </w:rPr>
    </w:lvl>
    <w:lvl w:ilvl="5" w:tentative="1">
      <w:start w:val="1"/>
      <w:numFmt w:val="bullet"/>
      <w:lvlText w:val=""/>
      <w:lvlJc w:val="left"/>
      <w:pPr>
        <w:tabs>
          <w:tab w:val="left" w:pos="2400"/>
        </w:tabs>
        <w:ind w:left="2400" w:hanging="400"/>
      </w:pPr>
      <w:rPr>
        <w:rFonts w:ascii="Wingdings" w:hAnsi="Wingdings" w:hint="default"/>
      </w:rPr>
    </w:lvl>
    <w:lvl w:ilvl="6" w:tentative="1">
      <w:start w:val="1"/>
      <w:numFmt w:val="bullet"/>
      <w:lvlText w:val=""/>
      <w:lvlJc w:val="left"/>
      <w:pPr>
        <w:tabs>
          <w:tab w:val="left" w:pos="2800"/>
        </w:tabs>
        <w:ind w:left="2800" w:hanging="400"/>
      </w:pPr>
      <w:rPr>
        <w:rFonts w:ascii="Wingdings" w:hAnsi="Wingdings" w:hint="default"/>
      </w:rPr>
    </w:lvl>
    <w:lvl w:ilvl="7" w:tentative="1">
      <w:start w:val="1"/>
      <w:numFmt w:val="bullet"/>
      <w:lvlText w:val=""/>
      <w:lvlJc w:val="left"/>
      <w:pPr>
        <w:tabs>
          <w:tab w:val="left" w:pos="3200"/>
        </w:tabs>
        <w:ind w:left="3200" w:hanging="400"/>
      </w:pPr>
      <w:rPr>
        <w:rFonts w:ascii="Wingdings" w:hAnsi="Wingdings" w:hint="default"/>
      </w:rPr>
    </w:lvl>
    <w:lvl w:ilvl="8" w:tentative="1">
      <w:start w:val="1"/>
      <w:numFmt w:val="bullet"/>
      <w:lvlText w:val=""/>
      <w:lvlJc w:val="left"/>
      <w:pPr>
        <w:tabs>
          <w:tab w:val="left" w:pos="3600"/>
        </w:tabs>
        <w:ind w:left="3600" w:hanging="400"/>
      </w:pPr>
      <w:rPr>
        <w:rFonts w:ascii="Wingdings" w:hAnsi="Wingdings" w:hint="default"/>
      </w:rPr>
    </w:lvl>
  </w:abstractNum>
  <w:abstractNum w:abstractNumId="23" w15:restartNumberingAfterBreak="0">
    <w:nsid w:val="52C23596"/>
    <w:multiLevelType w:val="multilevel"/>
    <w:tmpl w:val="997A4D62"/>
    <w:lvl w:ilvl="0">
      <w:start w:val="5"/>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4F50260"/>
    <w:multiLevelType w:val="hybridMultilevel"/>
    <w:tmpl w:val="9058E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82724B"/>
    <w:multiLevelType w:val="hybridMultilevel"/>
    <w:tmpl w:val="E2BCF4FE"/>
    <w:lvl w:ilvl="0" w:tplc="8C1452D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B6F04C2"/>
    <w:multiLevelType w:val="hybridMultilevel"/>
    <w:tmpl w:val="5A5E208A"/>
    <w:lvl w:ilvl="0" w:tplc="C7F0C3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37725"/>
    <w:multiLevelType w:val="hybridMultilevel"/>
    <w:tmpl w:val="6280319A"/>
    <w:lvl w:ilvl="0" w:tplc="FFFFFFFF">
      <w:start w:val="5"/>
      <w:numFmt w:val="decimal"/>
      <w:lvlText w:val="%1"/>
      <w:lvlJc w:val="left"/>
      <w:pPr>
        <w:ind w:left="720" w:hanging="360"/>
      </w:pPr>
      <w:rPr>
        <w:rFonts w:eastAsia="SimSu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D34579"/>
    <w:multiLevelType w:val="multilevel"/>
    <w:tmpl w:val="5CD345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5E2151EE"/>
    <w:multiLevelType w:val="hybridMultilevel"/>
    <w:tmpl w:val="D31439AA"/>
    <w:lvl w:ilvl="0" w:tplc="98741FD6">
      <w:start w:val="1"/>
      <w:numFmt w:val="bullet"/>
      <w:lvlText w:val="—"/>
      <w:lvlJc w:val="left"/>
      <w:pPr>
        <w:ind w:left="420" w:hanging="420"/>
      </w:pPr>
      <w:rPr>
        <w:rFonts w:ascii="MS Mincho" w:eastAsia="MS Mincho" w:hAnsi="MS Mincho"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560E01"/>
    <w:multiLevelType w:val="hybridMultilevel"/>
    <w:tmpl w:val="D7EE4AE6"/>
    <w:lvl w:ilvl="0" w:tplc="EEEA08E4">
      <w:start w:val="1"/>
      <w:numFmt w:val="bullet"/>
      <w:lvlText w:val="•"/>
      <w:lvlJc w:val="left"/>
      <w:pPr>
        <w:tabs>
          <w:tab w:val="num" w:pos="720"/>
        </w:tabs>
        <w:ind w:left="720" w:hanging="360"/>
      </w:pPr>
      <w:rPr>
        <w:rFonts w:ascii="Arial" w:hAnsi="Arial" w:hint="default"/>
      </w:rPr>
    </w:lvl>
    <w:lvl w:ilvl="1" w:tplc="63900CF4" w:tentative="1">
      <w:start w:val="1"/>
      <w:numFmt w:val="bullet"/>
      <w:lvlText w:val="•"/>
      <w:lvlJc w:val="left"/>
      <w:pPr>
        <w:tabs>
          <w:tab w:val="num" w:pos="1440"/>
        </w:tabs>
        <w:ind w:left="1440" w:hanging="360"/>
      </w:pPr>
      <w:rPr>
        <w:rFonts w:ascii="Arial" w:hAnsi="Arial" w:hint="default"/>
      </w:rPr>
    </w:lvl>
    <w:lvl w:ilvl="2" w:tplc="6F1CFE1A" w:tentative="1">
      <w:start w:val="1"/>
      <w:numFmt w:val="bullet"/>
      <w:lvlText w:val="•"/>
      <w:lvlJc w:val="left"/>
      <w:pPr>
        <w:tabs>
          <w:tab w:val="num" w:pos="2160"/>
        </w:tabs>
        <w:ind w:left="2160" w:hanging="360"/>
      </w:pPr>
      <w:rPr>
        <w:rFonts w:ascii="Arial" w:hAnsi="Arial" w:hint="default"/>
      </w:rPr>
    </w:lvl>
    <w:lvl w:ilvl="3" w:tplc="C1D6E404" w:tentative="1">
      <w:start w:val="1"/>
      <w:numFmt w:val="bullet"/>
      <w:lvlText w:val="•"/>
      <w:lvlJc w:val="left"/>
      <w:pPr>
        <w:tabs>
          <w:tab w:val="num" w:pos="2880"/>
        </w:tabs>
        <w:ind w:left="2880" w:hanging="360"/>
      </w:pPr>
      <w:rPr>
        <w:rFonts w:ascii="Arial" w:hAnsi="Arial" w:hint="default"/>
      </w:rPr>
    </w:lvl>
    <w:lvl w:ilvl="4" w:tplc="0BE4875C" w:tentative="1">
      <w:start w:val="1"/>
      <w:numFmt w:val="bullet"/>
      <w:lvlText w:val="•"/>
      <w:lvlJc w:val="left"/>
      <w:pPr>
        <w:tabs>
          <w:tab w:val="num" w:pos="3600"/>
        </w:tabs>
        <w:ind w:left="3600" w:hanging="360"/>
      </w:pPr>
      <w:rPr>
        <w:rFonts w:ascii="Arial" w:hAnsi="Arial" w:hint="default"/>
      </w:rPr>
    </w:lvl>
    <w:lvl w:ilvl="5" w:tplc="3EFE0C5E" w:tentative="1">
      <w:start w:val="1"/>
      <w:numFmt w:val="bullet"/>
      <w:lvlText w:val="•"/>
      <w:lvlJc w:val="left"/>
      <w:pPr>
        <w:tabs>
          <w:tab w:val="num" w:pos="4320"/>
        </w:tabs>
        <w:ind w:left="4320" w:hanging="360"/>
      </w:pPr>
      <w:rPr>
        <w:rFonts w:ascii="Arial" w:hAnsi="Arial" w:hint="default"/>
      </w:rPr>
    </w:lvl>
    <w:lvl w:ilvl="6" w:tplc="CFA8FD98" w:tentative="1">
      <w:start w:val="1"/>
      <w:numFmt w:val="bullet"/>
      <w:lvlText w:val="•"/>
      <w:lvlJc w:val="left"/>
      <w:pPr>
        <w:tabs>
          <w:tab w:val="num" w:pos="5040"/>
        </w:tabs>
        <w:ind w:left="5040" w:hanging="360"/>
      </w:pPr>
      <w:rPr>
        <w:rFonts w:ascii="Arial" w:hAnsi="Arial" w:hint="default"/>
      </w:rPr>
    </w:lvl>
    <w:lvl w:ilvl="7" w:tplc="4572B232" w:tentative="1">
      <w:start w:val="1"/>
      <w:numFmt w:val="bullet"/>
      <w:lvlText w:val="•"/>
      <w:lvlJc w:val="left"/>
      <w:pPr>
        <w:tabs>
          <w:tab w:val="num" w:pos="5760"/>
        </w:tabs>
        <w:ind w:left="5760" w:hanging="360"/>
      </w:pPr>
      <w:rPr>
        <w:rFonts w:ascii="Arial" w:hAnsi="Arial" w:hint="default"/>
      </w:rPr>
    </w:lvl>
    <w:lvl w:ilvl="8" w:tplc="D86413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24979"/>
    <w:multiLevelType w:val="hybridMultilevel"/>
    <w:tmpl w:val="70FE3FF2"/>
    <w:lvl w:ilvl="0" w:tplc="6540A90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E277F57"/>
    <w:multiLevelType w:val="multilevel"/>
    <w:tmpl w:val="6624F53A"/>
    <w:lvl w:ilvl="0">
      <w:start w:val="6"/>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998919944">
    <w:abstractNumId w:val="1"/>
  </w:num>
  <w:num w:numId="2" w16cid:durableId="1272008349">
    <w:abstractNumId w:val="1"/>
    <w:lvlOverride w:ilvl="0">
      <w:startOverride w:val="1"/>
    </w:lvlOverride>
  </w:num>
  <w:num w:numId="3" w16cid:durableId="561990421">
    <w:abstractNumId w:val="12"/>
  </w:num>
  <w:num w:numId="4" w16cid:durableId="1168406247">
    <w:abstractNumId w:val="28"/>
  </w:num>
  <w:num w:numId="5" w16cid:durableId="1003240165">
    <w:abstractNumId w:val="22"/>
  </w:num>
  <w:num w:numId="6" w16cid:durableId="1248229134">
    <w:abstractNumId w:val="14"/>
  </w:num>
  <w:num w:numId="7" w16cid:durableId="780491091">
    <w:abstractNumId w:val="21"/>
  </w:num>
  <w:num w:numId="8" w16cid:durableId="39866513">
    <w:abstractNumId w:val="25"/>
  </w:num>
  <w:num w:numId="9" w16cid:durableId="1775782510">
    <w:abstractNumId w:val="24"/>
  </w:num>
  <w:num w:numId="10" w16cid:durableId="1341813338">
    <w:abstractNumId w:val="32"/>
  </w:num>
  <w:num w:numId="11" w16cid:durableId="1173258227">
    <w:abstractNumId w:val="19"/>
  </w:num>
  <w:num w:numId="12" w16cid:durableId="654994011">
    <w:abstractNumId w:val="1"/>
  </w:num>
  <w:num w:numId="13" w16cid:durableId="1329095334">
    <w:abstractNumId w:val="11"/>
  </w:num>
  <w:num w:numId="14" w16cid:durableId="1704865382">
    <w:abstractNumId w:val="0"/>
  </w:num>
  <w:num w:numId="15" w16cid:durableId="1009873051">
    <w:abstractNumId w:val="23"/>
  </w:num>
  <w:num w:numId="16" w16cid:durableId="41289611">
    <w:abstractNumId w:val="34"/>
  </w:num>
  <w:num w:numId="17" w16cid:durableId="179782005">
    <w:abstractNumId w:val="17"/>
  </w:num>
  <w:num w:numId="18" w16cid:durableId="333344196">
    <w:abstractNumId w:val="30"/>
  </w:num>
  <w:num w:numId="19" w16cid:durableId="2049841349">
    <w:abstractNumId w:val="20"/>
  </w:num>
  <w:num w:numId="20" w16cid:durableId="1625237535">
    <w:abstractNumId w:val="9"/>
  </w:num>
  <w:num w:numId="21" w16cid:durableId="1776821920">
    <w:abstractNumId w:val="1"/>
  </w:num>
  <w:num w:numId="22" w16cid:durableId="1725326432">
    <w:abstractNumId w:val="1"/>
  </w:num>
  <w:num w:numId="23" w16cid:durableId="1634406078">
    <w:abstractNumId w:val="1"/>
  </w:num>
  <w:num w:numId="24" w16cid:durableId="1802534157">
    <w:abstractNumId w:val="1"/>
  </w:num>
  <w:num w:numId="25" w16cid:durableId="1578130029">
    <w:abstractNumId w:val="10"/>
  </w:num>
  <w:num w:numId="26" w16cid:durableId="1800107852">
    <w:abstractNumId w:val="31"/>
  </w:num>
  <w:num w:numId="27" w16cid:durableId="1241715215">
    <w:abstractNumId w:val="26"/>
  </w:num>
  <w:num w:numId="28" w16cid:durableId="1408578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9380738">
    <w:abstractNumId w:val="29"/>
  </w:num>
  <w:num w:numId="30" w16cid:durableId="1703287700">
    <w:abstractNumId w:val="15"/>
  </w:num>
  <w:num w:numId="31" w16cid:durableId="1309551442">
    <w:abstractNumId w:val="8"/>
  </w:num>
  <w:num w:numId="32" w16cid:durableId="1845633097">
    <w:abstractNumId w:val="7"/>
  </w:num>
  <w:num w:numId="33" w16cid:durableId="1862011603">
    <w:abstractNumId w:val="33"/>
  </w:num>
  <w:num w:numId="34" w16cid:durableId="422804354">
    <w:abstractNumId w:val="13"/>
  </w:num>
  <w:num w:numId="35" w16cid:durableId="1033308596">
    <w:abstractNumId w:val="16"/>
  </w:num>
  <w:num w:numId="36" w16cid:durableId="1994214456">
    <w:abstractNumId w:val="6"/>
  </w:num>
  <w:num w:numId="37" w16cid:durableId="1173641059">
    <w:abstractNumId w:val="3"/>
  </w:num>
  <w:num w:numId="38" w16cid:durableId="449321940">
    <w:abstractNumId w:val="4"/>
  </w:num>
  <w:num w:numId="39" w16cid:durableId="2089157083">
    <w:abstractNumId w:val="5"/>
  </w:num>
  <w:num w:numId="40" w16cid:durableId="295795419">
    <w:abstractNumId w:val="27"/>
  </w:num>
  <w:num w:numId="41" w16cid:durableId="6165259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zMDKztDA2NLMwNTJU0lEKTi0uzszPAykwrAUA+DxX0SwAAAA="/>
  </w:docVars>
  <w:rsids>
    <w:rsidRoot w:val="000849B9"/>
    <w:rsid w:val="00004967"/>
    <w:rsid w:val="000072C8"/>
    <w:rsid w:val="000114FC"/>
    <w:rsid w:val="00012D22"/>
    <w:rsid w:val="00013058"/>
    <w:rsid w:val="0001329B"/>
    <w:rsid w:val="000158D3"/>
    <w:rsid w:val="00017FED"/>
    <w:rsid w:val="0002080A"/>
    <w:rsid w:val="00022791"/>
    <w:rsid w:val="000229B2"/>
    <w:rsid w:val="000237BD"/>
    <w:rsid w:val="0002395A"/>
    <w:rsid w:val="000260B9"/>
    <w:rsid w:val="00026409"/>
    <w:rsid w:val="00026DD3"/>
    <w:rsid w:val="0002780B"/>
    <w:rsid w:val="00030264"/>
    <w:rsid w:val="00030E7C"/>
    <w:rsid w:val="0003226E"/>
    <w:rsid w:val="0003451B"/>
    <w:rsid w:val="00037BAE"/>
    <w:rsid w:val="00037F23"/>
    <w:rsid w:val="00040605"/>
    <w:rsid w:val="00040B83"/>
    <w:rsid w:val="00044000"/>
    <w:rsid w:val="000478DB"/>
    <w:rsid w:val="00052416"/>
    <w:rsid w:val="00052519"/>
    <w:rsid w:val="00052D58"/>
    <w:rsid w:val="000530AB"/>
    <w:rsid w:val="000533C1"/>
    <w:rsid w:val="00054327"/>
    <w:rsid w:val="00057366"/>
    <w:rsid w:val="00057A2D"/>
    <w:rsid w:val="00060966"/>
    <w:rsid w:val="000619C6"/>
    <w:rsid w:val="00067452"/>
    <w:rsid w:val="000674AD"/>
    <w:rsid w:val="00067A91"/>
    <w:rsid w:val="000714B7"/>
    <w:rsid w:val="0007414B"/>
    <w:rsid w:val="0007702A"/>
    <w:rsid w:val="000778E2"/>
    <w:rsid w:val="00077A24"/>
    <w:rsid w:val="00082EBF"/>
    <w:rsid w:val="000830F8"/>
    <w:rsid w:val="00083309"/>
    <w:rsid w:val="000835B2"/>
    <w:rsid w:val="00084471"/>
    <w:rsid w:val="000849B9"/>
    <w:rsid w:val="00084BE5"/>
    <w:rsid w:val="00086511"/>
    <w:rsid w:val="000868C2"/>
    <w:rsid w:val="00086D1C"/>
    <w:rsid w:val="00090A23"/>
    <w:rsid w:val="000A1BDC"/>
    <w:rsid w:val="000A2448"/>
    <w:rsid w:val="000A5DF5"/>
    <w:rsid w:val="000A7481"/>
    <w:rsid w:val="000A7595"/>
    <w:rsid w:val="000B03BA"/>
    <w:rsid w:val="000B30D4"/>
    <w:rsid w:val="000B4CE3"/>
    <w:rsid w:val="000B663A"/>
    <w:rsid w:val="000C3738"/>
    <w:rsid w:val="000C497D"/>
    <w:rsid w:val="000C616D"/>
    <w:rsid w:val="000C6DAB"/>
    <w:rsid w:val="000C71A2"/>
    <w:rsid w:val="000D1234"/>
    <w:rsid w:val="000D2152"/>
    <w:rsid w:val="000D2233"/>
    <w:rsid w:val="000D2732"/>
    <w:rsid w:val="000D2FD1"/>
    <w:rsid w:val="000D3418"/>
    <w:rsid w:val="000D3B02"/>
    <w:rsid w:val="000D469B"/>
    <w:rsid w:val="000E1180"/>
    <w:rsid w:val="000E2921"/>
    <w:rsid w:val="000E6BF1"/>
    <w:rsid w:val="000E73BE"/>
    <w:rsid w:val="000E761A"/>
    <w:rsid w:val="000F4BDD"/>
    <w:rsid w:val="000F516A"/>
    <w:rsid w:val="000F6D14"/>
    <w:rsid w:val="000F73ED"/>
    <w:rsid w:val="000F7528"/>
    <w:rsid w:val="000F7A24"/>
    <w:rsid w:val="00100178"/>
    <w:rsid w:val="001024C6"/>
    <w:rsid w:val="00106546"/>
    <w:rsid w:val="00111777"/>
    <w:rsid w:val="00112DA9"/>
    <w:rsid w:val="00116098"/>
    <w:rsid w:val="00120380"/>
    <w:rsid w:val="00120C1E"/>
    <w:rsid w:val="00120FE1"/>
    <w:rsid w:val="00121779"/>
    <w:rsid w:val="001222D3"/>
    <w:rsid w:val="00122F93"/>
    <w:rsid w:val="00124576"/>
    <w:rsid w:val="001254AA"/>
    <w:rsid w:val="001256D4"/>
    <w:rsid w:val="00126179"/>
    <w:rsid w:val="00127FF5"/>
    <w:rsid w:val="001302FE"/>
    <w:rsid w:val="00130E29"/>
    <w:rsid w:val="00131943"/>
    <w:rsid w:val="001336BC"/>
    <w:rsid w:val="0013427B"/>
    <w:rsid w:val="00135384"/>
    <w:rsid w:val="00136F92"/>
    <w:rsid w:val="00137310"/>
    <w:rsid w:val="001405D7"/>
    <w:rsid w:val="00140787"/>
    <w:rsid w:val="00140A1C"/>
    <w:rsid w:val="001417BD"/>
    <w:rsid w:val="00141BA6"/>
    <w:rsid w:val="001439FD"/>
    <w:rsid w:val="00145447"/>
    <w:rsid w:val="001458D8"/>
    <w:rsid w:val="00146A04"/>
    <w:rsid w:val="00146A4E"/>
    <w:rsid w:val="001471E3"/>
    <w:rsid w:val="001473D3"/>
    <w:rsid w:val="001503F6"/>
    <w:rsid w:val="001507B9"/>
    <w:rsid w:val="00150DCC"/>
    <w:rsid w:val="001522ED"/>
    <w:rsid w:val="00154419"/>
    <w:rsid w:val="00154A35"/>
    <w:rsid w:val="00155634"/>
    <w:rsid w:val="001574F9"/>
    <w:rsid w:val="0015769E"/>
    <w:rsid w:val="00160A69"/>
    <w:rsid w:val="0016103E"/>
    <w:rsid w:val="0016190F"/>
    <w:rsid w:val="00162D77"/>
    <w:rsid w:val="00164241"/>
    <w:rsid w:val="00164901"/>
    <w:rsid w:val="001657A8"/>
    <w:rsid w:val="001657B6"/>
    <w:rsid w:val="0016791C"/>
    <w:rsid w:val="00172600"/>
    <w:rsid w:val="00174950"/>
    <w:rsid w:val="00174C3B"/>
    <w:rsid w:val="00180039"/>
    <w:rsid w:val="00183D6A"/>
    <w:rsid w:val="00183E05"/>
    <w:rsid w:val="00185476"/>
    <w:rsid w:val="00186C91"/>
    <w:rsid w:val="001872C9"/>
    <w:rsid w:val="00191654"/>
    <w:rsid w:val="00191CF4"/>
    <w:rsid w:val="00193368"/>
    <w:rsid w:val="0019445D"/>
    <w:rsid w:val="00194883"/>
    <w:rsid w:val="00194ABB"/>
    <w:rsid w:val="00195290"/>
    <w:rsid w:val="00195FD6"/>
    <w:rsid w:val="00197287"/>
    <w:rsid w:val="001A0EC3"/>
    <w:rsid w:val="001A5472"/>
    <w:rsid w:val="001A7FFE"/>
    <w:rsid w:val="001B1692"/>
    <w:rsid w:val="001B1AED"/>
    <w:rsid w:val="001B2B49"/>
    <w:rsid w:val="001B5D80"/>
    <w:rsid w:val="001B61AC"/>
    <w:rsid w:val="001B647F"/>
    <w:rsid w:val="001B7963"/>
    <w:rsid w:val="001C0259"/>
    <w:rsid w:val="001C3BF2"/>
    <w:rsid w:val="001C3E3B"/>
    <w:rsid w:val="001C44F8"/>
    <w:rsid w:val="001C54AD"/>
    <w:rsid w:val="001C6EBF"/>
    <w:rsid w:val="001C7D4D"/>
    <w:rsid w:val="001D3BE3"/>
    <w:rsid w:val="001D55AE"/>
    <w:rsid w:val="001D74E7"/>
    <w:rsid w:val="001E1A3E"/>
    <w:rsid w:val="001E23C1"/>
    <w:rsid w:val="001E3A9E"/>
    <w:rsid w:val="001E437F"/>
    <w:rsid w:val="001E5023"/>
    <w:rsid w:val="001E73AF"/>
    <w:rsid w:val="001F15BC"/>
    <w:rsid w:val="001F1862"/>
    <w:rsid w:val="001F29E9"/>
    <w:rsid w:val="001F6EFB"/>
    <w:rsid w:val="002018E8"/>
    <w:rsid w:val="00205CC5"/>
    <w:rsid w:val="0021027F"/>
    <w:rsid w:val="00212EC6"/>
    <w:rsid w:val="00215C03"/>
    <w:rsid w:val="00216BDF"/>
    <w:rsid w:val="00220299"/>
    <w:rsid w:val="002225BB"/>
    <w:rsid w:val="0022365F"/>
    <w:rsid w:val="00223910"/>
    <w:rsid w:val="0022454B"/>
    <w:rsid w:val="0022459D"/>
    <w:rsid w:val="00225DE7"/>
    <w:rsid w:val="0022754E"/>
    <w:rsid w:val="002306F6"/>
    <w:rsid w:val="00231965"/>
    <w:rsid w:val="00234BA7"/>
    <w:rsid w:val="00235724"/>
    <w:rsid w:val="00235C9A"/>
    <w:rsid w:val="0023633D"/>
    <w:rsid w:val="0024715C"/>
    <w:rsid w:val="002502FE"/>
    <w:rsid w:val="00250AD7"/>
    <w:rsid w:val="00251653"/>
    <w:rsid w:val="002523E7"/>
    <w:rsid w:val="00253972"/>
    <w:rsid w:val="002548BC"/>
    <w:rsid w:val="00254F0A"/>
    <w:rsid w:val="00255BF0"/>
    <w:rsid w:val="00257472"/>
    <w:rsid w:val="00257A4B"/>
    <w:rsid w:val="00261208"/>
    <w:rsid w:val="0026451C"/>
    <w:rsid w:val="00264F4B"/>
    <w:rsid w:val="00266395"/>
    <w:rsid w:val="00271722"/>
    <w:rsid w:val="00271E1F"/>
    <w:rsid w:val="0027584B"/>
    <w:rsid w:val="00275E9B"/>
    <w:rsid w:val="002813D9"/>
    <w:rsid w:val="002841D9"/>
    <w:rsid w:val="0028508B"/>
    <w:rsid w:val="002872AC"/>
    <w:rsid w:val="00290AC0"/>
    <w:rsid w:val="00290EE2"/>
    <w:rsid w:val="0029378F"/>
    <w:rsid w:val="00293E96"/>
    <w:rsid w:val="00294419"/>
    <w:rsid w:val="00296851"/>
    <w:rsid w:val="002A0811"/>
    <w:rsid w:val="002A14AD"/>
    <w:rsid w:val="002A34DA"/>
    <w:rsid w:val="002A3AD8"/>
    <w:rsid w:val="002A4147"/>
    <w:rsid w:val="002A4B40"/>
    <w:rsid w:val="002A69B0"/>
    <w:rsid w:val="002B01FA"/>
    <w:rsid w:val="002B02A5"/>
    <w:rsid w:val="002B0FF8"/>
    <w:rsid w:val="002B1531"/>
    <w:rsid w:val="002B3E9A"/>
    <w:rsid w:val="002B4340"/>
    <w:rsid w:val="002B4FE0"/>
    <w:rsid w:val="002B67AE"/>
    <w:rsid w:val="002B72B3"/>
    <w:rsid w:val="002C14F2"/>
    <w:rsid w:val="002C3100"/>
    <w:rsid w:val="002C415A"/>
    <w:rsid w:val="002C709A"/>
    <w:rsid w:val="002D3F7C"/>
    <w:rsid w:val="002D56EA"/>
    <w:rsid w:val="002D6784"/>
    <w:rsid w:val="002E01C9"/>
    <w:rsid w:val="002E0E96"/>
    <w:rsid w:val="002E0EE9"/>
    <w:rsid w:val="002E1B36"/>
    <w:rsid w:val="002E22FB"/>
    <w:rsid w:val="002E2821"/>
    <w:rsid w:val="002E2D7C"/>
    <w:rsid w:val="002E5E87"/>
    <w:rsid w:val="002E79B5"/>
    <w:rsid w:val="002F0F17"/>
    <w:rsid w:val="002F1566"/>
    <w:rsid w:val="002F1BC6"/>
    <w:rsid w:val="002F2E2B"/>
    <w:rsid w:val="002F3159"/>
    <w:rsid w:val="002F6C2C"/>
    <w:rsid w:val="00302242"/>
    <w:rsid w:val="00302944"/>
    <w:rsid w:val="00305D3D"/>
    <w:rsid w:val="00311FCE"/>
    <w:rsid w:val="00313570"/>
    <w:rsid w:val="003148ED"/>
    <w:rsid w:val="00316FB7"/>
    <w:rsid w:val="00317FBB"/>
    <w:rsid w:val="00317FDE"/>
    <w:rsid w:val="00322175"/>
    <w:rsid w:val="00322387"/>
    <w:rsid w:val="003228AA"/>
    <w:rsid w:val="0032312C"/>
    <w:rsid w:val="003239A6"/>
    <w:rsid w:val="00325AA8"/>
    <w:rsid w:val="00326029"/>
    <w:rsid w:val="003269CA"/>
    <w:rsid w:val="003324D9"/>
    <w:rsid w:val="00335C64"/>
    <w:rsid w:val="00335F3E"/>
    <w:rsid w:val="0033674B"/>
    <w:rsid w:val="00337577"/>
    <w:rsid w:val="003430E6"/>
    <w:rsid w:val="0034496B"/>
    <w:rsid w:val="00345934"/>
    <w:rsid w:val="00346566"/>
    <w:rsid w:val="003511A6"/>
    <w:rsid w:val="00352025"/>
    <w:rsid w:val="003545A6"/>
    <w:rsid w:val="00360C2B"/>
    <w:rsid w:val="003623F0"/>
    <w:rsid w:val="00364111"/>
    <w:rsid w:val="003648D7"/>
    <w:rsid w:val="00364E1E"/>
    <w:rsid w:val="00365881"/>
    <w:rsid w:val="00366BCD"/>
    <w:rsid w:val="00367A0F"/>
    <w:rsid w:val="00367AB5"/>
    <w:rsid w:val="003715D5"/>
    <w:rsid w:val="0037212B"/>
    <w:rsid w:val="00372CF9"/>
    <w:rsid w:val="00374E72"/>
    <w:rsid w:val="00380BCA"/>
    <w:rsid w:val="00382B86"/>
    <w:rsid w:val="00385573"/>
    <w:rsid w:val="00386CED"/>
    <w:rsid w:val="00386D59"/>
    <w:rsid w:val="00391BF2"/>
    <w:rsid w:val="00391F01"/>
    <w:rsid w:val="00393022"/>
    <w:rsid w:val="00394C05"/>
    <w:rsid w:val="00396F2A"/>
    <w:rsid w:val="003A3E11"/>
    <w:rsid w:val="003A4916"/>
    <w:rsid w:val="003A5D9F"/>
    <w:rsid w:val="003A6DEE"/>
    <w:rsid w:val="003A7C1A"/>
    <w:rsid w:val="003A7CBE"/>
    <w:rsid w:val="003B249B"/>
    <w:rsid w:val="003B3BF7"/>
    <w:rsid w:val="003B6140"/>
    <w:rsid w:val="003B6AA3"/>
    <w:rsid w:val="003B7B00"/>
    <w:rsid w:val="003C01C0"/>
    <w:rsid w:val="003C07AE"/>
    <w:rsid w:val="003C73BF"/>
    <w:rsid w:val="003C79F6"/>
    <w:rsid w:val="003D0B4F"/>
    <w:rsid w:val="003D1846"/>
    <w:rsid w:val="003D1B93"/>
    <w:rsid w:val="003D4277"/>
    <w:rsid w:val="003D54F5"/>
    <w:rsid w:val="003D5E4F"/>
    <w:rsid w:val="003D7C15"/>
    <w:rsid w:val="003E2DC8"/>
    <w:rsid w:val="003E359E"/>
    <w:rsid w:val="003E5064"/>
    <w:rsid w:val="003E6823"/>
    <w:rsid w:val="003E7944"/>
    <w:rsid w:val="003E7E94"/>
    <w:rsid w:val="003F02E2"/>
    <w:rsid w:val="003F1052"/>
    <w:rsid w:val="003F1127"/>
    <w:rsid w:val="003F38F7"/>
    <w:rsid w:val="003F3B20"/>
    <w:rsid w:val="003F50F6"/>
    <w:rsid w:val="003F5587"/>
    <w:rsid w:val="003F5822"/>
    <w:rsid w:val="003F648B"/>
    <w:rsid w:val="003F6941"/>
    <w:rsid w:val="003F7FF2"/>
    <w:rsid w:val="00400851"/>
    <w:rsid w:val="00401CBE"/>
    <w:rsid w:val="004032F3"/>
    <w:rsid w:val="00404E73"/>
    <w:rsid w:val="00407F14"/>
    <w:rsid w:val="00412A31"/>
    <w:rsid w:val="004146A0"/>
    <w:rsid w:val="00417003"/>
    <w:rsid w:val="00417062"/>
    <w:rsid w:val="00420313"/>
    <w:rsid w:val="00422CFD"/>
    <w:rsid w:val="00426DD2"/>
    <w:rsid w:val="004277C7"/>
    <w:rsid w:val="00430C4B"/>
    <w:rsid w:val="004315D8"/>
    <w:rsid w:val="004331A9"/>
    <w:rsid w:val="004333F6"/>
    <w:rsid w:val="00434A9B"/>
    <w:rsid w:val="00435B05"/>
    <w:rsid w:val="0043731B"/>
    <w:rsid w:val="00440788"/>
    <w:rsid w:val="00440C15"/>
    <w:rsid w:val="00445794"/>
    <w:rsid w:val="00445D10"/>
    <w:rsid w:val="00447C1F"/>
    <w:rsid w:val="004509B9"/>
    <w:rsid w:val="00450AF0"/>
    <w:rsid w:val="00450E05"/>
    <w:rsid w:val="00451496"/>
    <w:rsid w:val="00452D32"/>
    <w:rsid w:val="00453CF0"/>
    <w:rsid w:val="00453FCC"/>
    <w:rsid w:val="0045414B"/>
    <w:rsid w:val="00454A62"/>
    <w:rsid w:val="004615B4"/>
    <w:rsid w:val="00465F8E"/>
    <w:rsid w:val="00472164"/>
    <w:rsid w:val="0047476D"/>
    <w:rsid w:val="00474AA3"/>
    <w:rsid w:val="0047575E"/>
    <w:rsid w:val="00475BF5"/>
    <w:rsid w:val="004811D2"/>
    <w:rsid w:val="00482961"/>
    <w:rsid w:val="00485442"/>
    <w:rsid w:val="00486114"/>
    <w:rsid w:val="0048658C"/>
    <w:rsid w:val="00486978"/>
    <w:rsid w:val="00491739"/>
    <w:rsid w:val="00491A82"/>
    <w:rsid w:val="0049232A"/>
    <w:rsid w:val="004934D9"/>
    <w:rsid w:val="00495842"/>
    <w:rsid w:val="004960A1"/>
    <w:rsid w:val="00496277"/>
    <w:rsid w:val="004A099B"/>
    <w:rsid w:val="004A16F0"/>
    <w:rsid w:val="004A1BF7"/>
    <w:rsid w:val="004A224E"/>
    <w:rsid w:val="004A6154"/>
    <w:rsid w:val="004A6C7C"/>
    <w:rsid w:val="004A6E3B"/>
    <w:rsid w:val="004A7925"/>
    <w:rsid w:val="004B18DD"/>
    <w:rsid w:val="004B237E"/>
    <w:rsid w:val="004B29A4"/>
    <w:rsid w:val="004B2E7C"/>
    <w:rsid w:val="004B32A1"/>
    <w:rsid w:val="004B3948"/>
    <w:rsid w:val="004B4386"/>
    <w:rsid w:val="004B477B"/>
    <w:rsid w:val="004B7759"/>
    <w:rsid w:val="004B7D58"/>
    <w:rsid w:val="004C0485"/>
    <w:rsid w:val="004C07BB"/>
    <w:rsid w:val="004C2E50"/>
    <w:rsid w:val="004C365F"/>
    <w:rsid w:val="004C543D"/>
    <w:rsid w:val="004C63AD"/>
    <w:rsid w:val="004C6C72"/>
    <w:rsid w:val="004C7401"/>
    <w:rsid w:val="004D195E"/>
    <w:rsid w:val="004D25F9"/>
    <w:rsid w:val="004D263B"/>
    <w:rsid w:val="004D3052"/>
    <w:rsid w:val="004D33F5"/>
    <w:rsid w:val="004D6AA8"/>
    <w:rsid w:val="004D7012"/>
    <w:rsid w:val="004E1265"/>
    <w:rsid w:val="004E3DF9"/>
    <w:rsid w:val="004E42B3"/>
    <w:rsid w:val="004E6DEC"/>
    <w:rsid w:val="004E6E65"/>
    <w:rsid w:val="004E7497"/>
    <w:rsid w:val="004F00C2"/>
    <w:rsid w:val="004F103F"/>
    <w:rsid w:val="004F19CB"/>
    <w:rsid w:val="004F230D"/>
    <w:rsid w:val="004F32FF"/>
    <w:rsid w:val="004F4671"/>
    <w:rsid w:val="004F4B42"/>
    <w:rsid w:val="004F52C6"/>
    <w:rsid w:val="004F5578"/>
    <w:rsid w:val="004F5914"/>
    <w:rsid w:val="004F686B"/>
    <w:rsid w:val="00500443"/>
    <w:rsid w:val="0050094D"/>
    <w:rsid w:val="00501060"/>
    <w:rsid w:val="00501478"/>
    <w:rsid w:val="0050189C"/>
    <w:rsid w:val="0050369E"/>
    <w:rsid w:val="00503876"/>
    <w:rsid w:val="00503A45"/>
    <w:rsid w:val="00515651"/>
    <w:rsid w:val="0051572D"/>
    <w:rsid w:val="00516A90"/>
    <w:rsid w:val="00520118"/>
    <w:rsid w:val="00520173"/>
    <w:rsid w:val="00520281"/>
    <w:rsid w:val="005205D3"/>
    <w:rsid w:val="00523604"/>
    <w:rsid w:val="00523D50"/>
    <w:rsid w:val="00523F8F"/>
    <w:rsid w:val="00524123"/>
    <w:rsid w:val="00524930"/>
    <w:rsid w:val="00524C0B"/>
    <w:rsid w:val="005273B1"/>
    <w:rsid w:val="00527A75"/>
    <w:rsid w:val="00530896"/>
    <w:rsid w:val="00530B87"/>
    <w:rsid w:val="00533ABA"/>
    <w:rsid w:val="00536C70"/>
    <w:rsid w:val="00537B37"/>
    <w:rsid w:val="005400FA"/>
    <w:rsid w:val="0054180D"/>
    <w:rsid w:val="00541CB4"/>
    <w:rsid w:val="0054433B"/>
    <w:rsid w:val="00544486"/>
    <w:rsid w:val="00546D49"/>
    <w:rsid w:val="00547BFA"/>
    <w:rsid w:val="00551174"/>
    <w:rsid w:val="00553BC6"/>
    <w:rsid w:val="00554213"/>
    <w:rsid w:val="00554841"/>
    <w:rsid w:val="00555F61"/>
    <w:rsid w:val="005563ED"/>
    <w:rsid w:val="00557A2E"/>
    <w:rsid w:val="005603B3"/>
    <w:rsid w:val="00562937"/>
    <w:rsid w:val="00564488"/>
    <w:rsid w:val="0056509C"/>
    <w:rsid w:val="005659E2"/>
    <w:rsid w:val="00566481"/>
    <w:rsid w:val="005701A0"/>
    <w:rsid w:val="00570CC8"/>
    <w:rsid w:val="0057425E"/>
    <w:rsid w:val="00574EE7"/>
    <w:rsid w:val="00576CC6"/>
    <w:rsid w:val="00577D11"/>
    <w:rsid w:val="00583A22"/>
    <w:rsid w:val="00583D6E"/>
    <w:rsid w:val="00584376"/>
    <w:rsid w:val="00585E77"/>
    <w:rsid w:val="00586604"/>
    <w:rsid w:val="00586651"/>
    <w:rsid w:val="00591945"/>
    <w:rsid w:val="00594B46"/>
    <w:rsid w:val="00594EC7"/>
    <w:rsid w:val="005A0970"/>
    <w:rsid w:val="005A0C6B"/>
    <w:rsid w:val="005A3052"/>
    <w:rsid w:val="005A3378"/>
    <w:rsid w:val="005A3857"/>
    <w:rsid w:val="005A4E2C"/>
    <w:rsid w:val="005A5115"/>
    <w:rsid w:val="005A7391"/>
    <w:rsid w:val="005A7893"/>
    <w:rsid w:val="005B0DC3"/>
    <w:rsid w:val="005B2221"/>
    <w:rsid w:val="005B508D"/>
    <w:rsid w:val="005B53FE"/>
    <w:rsid w:val="005B6F4D"/>
    <w:rsid w:val="005C1B3A"/>
    <w:rsid w:val="005C1D10"/>
    <w:rsid w:val="005C35AC"/>
    <w:rsid w:val="005C60E2"/>
    <w:rsid w:val="005C7CD1"/>
    <w:rsid w:val="005D2E94"/>
    <w:rsid w:val="005D548A"/>
    <w:rsid w:val="005D58AC"/>
    <w:rsid w:val="005E191A"/>
    <w:rsid w:val="005E437A"/>
    <w:rsid w:val="005E5670"/>
    <w:rsid w:val="005E651B"/>
    <w:rsid w:val="005F3066"/>
    <w:rsid w:val="005F3F33"/>
    <w:rsid w:val="005F4796"/>
    <w:rsid w:val="005F7956"/>
    <w:rsid w:val="00600E0A"/>
    <w:rsid w:val="00601493"/>
    <w:rsid w:val="00603998"/>
    <w:rsid w:val="00604473"/>
    <w:rsid w:val="00606D6D"/>
    <w:rsid w:val="00607662"/>
    <w:rsid w:val="0060775A"/>
    <w:rsid w:val="00607E88"/>
    <w:rsid w:val="00610E63"/>
    <w:rsid w:val="00611363"/>
    <w:rsid w:val="0061178E"/>
    <w:rsid w:val="00611984"/>
    <w:rsid w:val="00611B24"/>
    <w:rsid w:val="00621AC7"/>
    <w:rsid w:val="006227E1"/>
    <w:rsid w:val="0062295F"/>
    <w:rsid w:val="00622AF4"/>
    <w:rsid w:val="00625824"/>
    <w:rsid w:val="0062587A"/>
    <w:rsid w:val="00625FB6"/>
    <w:rsid w:val="00632B7E"/>
    <w:rsid w:val="00633217"/>
    <w:rsid w:val="006342A5"/>
    <w:rsid w:val="006350F4"/>
    <w:rsid w:val="00635B9F"/>
    <w:rsid w:val="0063770C"/>
    <w:rsid w:val="006407A9"/>
    <w:rsid w:val="00642951"/>
    <w:rsid w:val="00643AEB"/>
    <w:rsid w:val="006440EB"/>
    <w:rsid w:val="00644FD1"/>
    <w:rsid w:val="00650836"/>
    <w:rsid w:val="006529C4"/>
    <w:rsid w:val="00653474"/>
    <w:rsid w:val="00654150"/>
    <w:rsid w:val="0066068B"/>
    <w:rsid w:val="00661768"/>
    <w:rsid w:val="00663A47"/>
    <w:rsid w:val="006651F0"/>
    <w:rsid w:val="00666D76"/>
    <w:rsid w:val="00667FE4"/>
    <w:rsid w:val="00670602"/>
    <w:rsid w:val="00671B64"/>
    <w:rsid w:val="0067354E"/>
    <w:rsid w:val="006761A0"/>
    <w:rsid w:val="00676E8F"/>
    <w:rsid w:val="00681DA4"/>
    <w:rsid w:val="00686B51"/>
    <w:rsid w:val="00687061"/>
    <w:rsid w:val="0069155F"/>
    <w:rsid w:val="00695206"/>
    <w:rsid w:val="006968A5"/>
    <w:rsid w:val="006A2C11"/>
    <w:rsid w:val="006A32E5"/>
    <w:rsid w:val="006A6FD1"/>
    <w:rsid w:val="006A71DC"/>
    <w:rsid w:val="006A76B1"/>
    <w:rsid w:val="006B2079"/>
    <w:rsid w:val="006B2ACD"/>
    <w:rsid w:val="006B7A76"/>
    <w:rsid w:val="006B7B2B"/>
    <w:rsid w:val="006B7B84"/>
    <w:rsid w:val="006C263E"/>
    <w:rsid w:val="006C291F"/>
    <w:rsid w:val="006C555B"/>
    <w:rsid w:val="006C6E17"/>
    <w:rsid w:val="006C6E4D"/>
    <w:rsid w:val="006D0439"/>
    <w:rsid w:val="006D0EBF"/>
    <w:rsid w:val="006D290E"/>
    <w:rsid w:val="006D388D"/>
    <w:rsid w:val="006D5817"/>
    <w:rsid w:val="006E0EED"/>
    <w:rsid w:val="006E1801"/>
    <w:rsid w:val="006E2E28"/>
    <w:rsid w:val="006E3069"/>
    <w:rsid w:val="006E3AC5"/>
    <w:rsid w:val="006E4B3E"/>
    <w:rsid w:val="006E4C09"/>
    <w:rsid w:val="006F0239"/>
    <w:rsid w:val="006F0A15"/>
    <w:rsid w:val="006F0E56"/>
    <w:rsid w:val="006F1576"/>
    <w:rsid w:val="006F2B26"/>
    <w:rsid w:val="006F4B3E"/>
    <w:rsid w:val="006F5283"/>
    <w:rsid w:val="006F7739"/>
    <w:rsid w:val="00700B9D"/>
    <w:rsid w:val="00705728"/>
    <w:rsid w:val="00706E35"/>
    <w:rsid w:val="007075D0"/>
    <w:rsid w:val="00710AF0"/>
    <w:rsid w:val="00712345"/>
    <w:rsid w:val="00715FC1"/>
    <w:rsid w:val="007172F9"/>
    <w:rsid w:val="0072314F"/>
    <w:rsid w:val="0072578A"/>
    <w:rsid w:val="00726480"/>
    <w:rsid w:val="007276B1"/>
    <w:rsid w:val="00731305"/>
    <w:rsid w:val="00735472"/>
    <w:rsid w:val="00735D40"/>
    <w:rsid w:val="00740639"/>
    <w:rsid w:val="00742008"/>
    <w:rsid w:val="007456FB"/>
    <w:rsid w:val="007457FB"/>
    <w:rsid w:val="00745DAD"/>
    <w:rsid w:val="0075187D"/>
    <w:rsid w:val="00751A12"/>
    <w:rsid w:val="00753181"/>
    <w:rsid w:val="007544C6"/>
    <w:rsid w:val="00754B9B"/>
    <w:rsid w:val="0076065A"/>
    <w:rsid w:val="00761381"/>
    <w:rsid w:val="0076154A"/>
    <w:rsid w:val="0076321B"/>
    <w:rsid w:val="00764F70"/>
    <w:rsid w:val="0076609B"/>
    <w:rsid w:val="00770978"/>
    <w:rsid w:val="00771FF6"/>
    <w:rsid w:val="00772A4F"/>
    <w:rsid w:val="0077307A"/>
    <w:rsid w:val="007758CF"/>
    <w:rsid w:val="007770FE"/>
    <w:rsid w:val="00783085"/>
    <w:rsid w:val="007837F1"/>
    <w:rsid w:val="00783D7C"/>
    <w:rsid w:val="007854A0"/>
    <w:rsid w:val="0078580B"/>
    <w:rsid w:val="007862AA"/>
    <w:rsid w:val="0078754C"/>
    <w:rsid w:val="00787993"/>
    <w:rsid w:val="007933AD"/>
    <w:rsid w:val="00793572"/>
    <w:rsid w:val="00797547"/>
    <w:rsid w:val="00797C3E"/>
    <w:rsid w:val="007A1B95"/>
    <w:rsid w:val="007A32A7"/>
    <w:rsid w:val="007A3574"/>
    <w:rsid w:val="007A4AD7"/>
    <w:rsid w:val="007A5E76"/>
    <w:rsid w:val="007B0F64"/>
    <w:rsid w:val="007B1DF4"/>
    <w:rsid w:val="007B7380"/>
    <w:rsid w:val="007C08D9"/>
    <w:rsid w:val="007C13ED"/>
    <w:rsid w:val="007C1F40"/>
    <w:rsid w:val="007C2AC3"/>
    <w:rsid w:val="007C43A2"/>
    <w:rsid w:val="007C4623"/>
    <w:rsid w:val="007C49B7"/>
    <w:rsid w:val="007C5547"/>
    <w:rsid w:val="007D0469"/>
    <w:rsid w:val="007D2CD7"/>
    <w:rsid w:val="007D30F1"/>
    <w:rsid w:val="007D3170"/>
    <w:rsid w:val="007D4D69"/>
    <w:rsid w:val="007D7805"/>
    <w:rsid w:val="007E0FF2"/>
    <w:rsid w:val="007E1269"/>
    <w:rsid w:val="007E1C32"/>
    <w:rsid w:val="007E3A4E"/>
    <w:rsid w:val="007E556E"/>
    <w:rsid w:val="007F0BF2"/>
    <w:rsid w:val="007F19F3"/>
    <w:rsid w:val="007F3553"/>
    <w:rsid w:val="007F3911"/>
    <w:rsid w:val="007F3B80"/>
    <w:rsid w:val="007F457F"/>
    <w:rsid w:val="00800BEE"/>
    <w:rsid w:val="00801263"/>
    <w:rsid w:val="00801CB1"/>
    <w:rsid w:val="00802494"/>
    <w:rsid w:val="0080250A"/>
    <w:rsid w:val="00802E36"/>
    <w:rsid w:val="00802EA1"/>
    <w:rsid w:val="0080689C"/>
    <w:rsid w:val="008130E6"/>
    <w:rsid w:val="00814511"/>
    <w:rsid w:val="008153DE"/>
    <w:rsid w:val="00817BEB"/>
    <w:rsid w:val="00822320"/>
    <w:rsid w:val="0082314B"/>
    <w:rsid w:val="008246BC"/>
    <w:rsid w:val="0082474D"/>
    <w:rsid w:val="00825FF9"/>
    <w:rsid w:val="00826330"/>
    <w:rsid w:val="00831897"/>
    <w:rsid w:val="00837983"/>
    <w:rsid w:val="00840417"/>
    <w:rsid w:val="008425FB"/>
    <w:rsid w:val="00842BD2"/>
    <w:rsid w:val="00845EFA"/>
    <w:rsid w:val="00846F06"/>
    <w:rsid w:val="0084742E"/>
    <w:rsid w:val="0084779A"/>
    <w:rsid w:val="008478FE"/>
    <w:rsid w:val="0085080D"/>
    <w:rsid w:val="0085139E"/>
    <w:rsid w:val="0085459A"/>
    <w:rsid w:val="00862315"/>
    <w:rsid w:val="00862A56"/>
    <w:rsid w:val="00864549"/>
    <w:rsid w:val="00865434"/>
    <w:rsid w:val="00867059"/>
    <w:rsid w:val="00867F26"/>
    <w:rsid w:val="008705E6"/>
    <w:rsid w:val="0087220E"/>
    <w:rsid w:val="00876C36"/>
    <w:rsid w:val="00882FCF"/>
    <w:rsid w:val="00883D5C"/>
    <w:rsid w:val="00884D5D"/>
    <w:rsid w:val="00885FB7"/>
    <w:rsid w:val="00886529"/>
    <w:rsid w:val="0088698A"/>
    <w:rsid w:val="008879FC"/>
    <w:rsid w:val="00890E98"/>
    <w:rsid w:val="00890EF4"/>
    <w:rsid w:val="00891C4B"/>
    <w:rsid w:val="00892806"/>
    <w:rsid w:val="008937BD"/>
    <w:rsid w:val="00894ABC"/>
    <w:rsid w:val="008A0936"/>
    <w:rsid w:val="008A3012"/>
    <w:rsid w:val="008A43AD"/>
    <w:rsid w:val="008B0D64"/>
    <w:rsid w:val="008B1830"/>
    <w:rsid w:val="008B2867"/>
    <w:rsid w:val="008B6465"/>
    <w:rsid w:val="008B6492"/>
    <w:rsid w:val="008C1614"/>
    <w:rsid w:val="008C224D"/>
    <w:rsid w:val="008C32E4"/>
    <w:rsid w:val="008C4F8D"/>
    <w:rsid w:val="008C5B22"/>
    <w:rsid w:val="008C5E36"/>
    <w:rsid w:val="008C654D"/>
    <w:rsid w:val="008C7CAC"/>
    <w:rsid w:val="008D011B"/>
    <w:rsid w:val="008D0D03"/>
    <w:rsid w:val="008D1B9F"/>
    <w:rsid w:val="008D442E"/>
    <w:rsid w:val="008D6E3C"/>
    <w:rsid w:val="008E2563"/>
    <w:rsid w:val="008E3BA8"/>
    <w:rsid w:val="008E600A"/>
    <w:rsid w:val="008F0341"/>
    <w:rsid w:val="008F1834"/>
    <w:rsid w:val="0090069C"/>
    <w:rsid w:val="00900A6A"/>
    <w:rsid w:val="00900F44"/>
    <w:rsid w:val="00901D40"/>
    <w:rsid w:val="00903421"/>
    <w:rsid w:val="0090521E"/>
    <w:rsid w:val="009070E9"/>
    <w:rsid w:val="00907219"/>
    <w:rsid w:val="00911D6A"/>
    <w:rsid w:val="0091341C"/>
    <w:rsid w:val="00913B85"/>
    <w:rsid w:val="00913E2C"/>
    <w:rsid w:val="00915F86"/>
    <w:rsid w:val="00923B8F"/>
    <w:rsid w:val="00935740"/>
    <w:rsid w:val="0094102D"/>
    <w:rsid w:val="009425DD"/>
    <w:rsid w:val="00943BB7"/>
    <w:rsid w:val="00945C41"/>
    <w:rsid w:val="0094691D"/>
    <w:rsid w:val="00946ECE"/>
    <w:rsid w:val="009470BE"/>
    <w:rsid w:val="00947F4C"/>
    <w:rsid w:val="00951AAC"/>
    <w:rsid w:val="00960992"/>
    <w:rsid w:val="00961B00"/>
    <w:rsid w:val="00962CB0"/>
    <w:rsid w:val="0096367D"/>
    <w:rsid w:val="00963A51"/>
    <w:rsid w:val="0096742B"/>
    <w:rsid w:val="009700EB"/>
    <w:rsid w:val="00970E46"/>
    <w:rsid w:val="00972711"/>
    <w:rsid w:val="009741E6"/>
    <w:rsid w:val="009745EE"/>
    <w:rsid w:val="009746AC"/>
    <w:rsid w:val="00980698"/>
    <w:rsid w:val="00980D47"/>
    <w:rsid w:val="00987C5C"/>
    <w:rsid w:val="009975F4"/>
    <w:rsid w:val="00997949"/>
    <w:rsid w:val="009A141D"/>
    <w:rsid w:val="009A2664"/>
    <w:rsid w:val="009A307B"/>
    <w:rsid w:val="009A3B3F"/>
    <w:rsid w:val="009A3B42"/>
    <w:rsid w:val="009A45CD"/>
    <w:rsid w:val="009A4E49"/>
    <w:rsid w:val="009A697D"/>
    <w:rsid w:val="009B0F09"/>
    <w:rsid w:val="009B1F9A"/>
    <w:rsid w:val="009B270F"/>
    <w:rsid w:val="009B761B"/>
    <w:rsid w:val="009C1020"/>
    <w:rsid w:val="009C11BB"/>
    <w:rsid w:val="009C6314"/>
    <w:rsid w:val="009C68EB"/>
    <w:rsid w:val="009C7220"/>
    <w:rsid w:val="009D0B27"/>
    <w:rsid w:val="009D1F8A"/>
    <w:rsid w:val="009D559F"/>
    <w:rsid w:val="009E14E9"/>
    <w:rsid w:val="009E1F42"/>
    <w:rsid w:val="009E34F3"/>
    <w:rsid w:val="009E5721"/>
    <w:rsid w:val="009E63CB"/>
    <w:rsid w:val="009F04B3"/>
    <w:rsid w:val="009F0916"/>
    <w:rsid w:val="009F3F31"/>
    <w:rsid w:val="009F4240"/>
    <w:rsid w:val="009F4EC3"/>
    <w:rsid w:val="009F5403"/>
    <w:rsid w:val="009F705E"/>
    <w:rsid w:val="00A00E3F"/>
    <w:rsid w:val="00A012C4"/>
    <w:rsid w:val="00A02A73"/>
    <w:rsid w:val="00A04D9D"/>
    <w:rsid w:val="00A0514A"/>
    <w:rsid w:val="00A05CE2"/>
    <w:rsid w:val="00A066A2"/>
    <w:rsid w:val="00A07357"/>
    <w:rsid w:val="00A1015C"/>
    <w:rsid w:val="00A10B84"/>
    <w:rsid w:val="00A11DE2"/>
    <w:rsid w:val="00A12621"/>
    <w:rsid w:val="00A139D0"/>
    <w:rsid w:val="00A21305"/>
    <w:rsid w:val="00A214A1"/>
    <w:rsid w:val="00A22D8C"/>
    <w:rsid w:val="00A240D3"/>
    <w:rsid w:val="00A24561"/>
    <w:rsid w:val="00A24B93"/>
    <w:rsid w:val="00A27692"/>
    <w:rsid w:val="00A30656"/>
    <w:rsid w:val="00A31EE7"/>
    <w:rsid w:val="00A32C6F"/>
    <w:rsid w:val="00A34991"/>
    <w:rsid w:val="00A34EFA"/>
    <w:rsid w:val="00A35570"/>
    <w:rsid w:val="00A355D9"/>
    <w:rsid w:val="00A35BF6"/>
    <w:rsid w:val="00A35C92"/>
    <w:rsid w:val="00A36A25"/>
    <w:rsid w:val="00A42ACF"/>
    <w:rsid w:val="00A44258"/>
    <w:rsid w:val="00A45034"/>
    <w:rsid w:val="00A506D3"/>
    <w:rsid w:val="00A50C16"/>
    <w:rsid w:val="00A51A78"/>
    <w:rsid w:val="00A52D26"/>
    <w:rsid w:val="00A52FA1"/>
    <w:rsid w:val="00A52FB1"/>
    <w:rsid w:val="00A5382A"/>
    <w:rsid w:val="00A539C1"/>
    <w:rsid w:val="00A61F79"/>
    <w:rsid w:val="00A6388B"/>
    <w:rsid w:val="00A63A0D"/>
    <w:rsid w:val="00A65200"/>
    <w:rsid w:val="00A67577"/>
    <w:rsid w:val="00A70898"/>
    <w:rsid w:val="00A70E13"/>
    <w:rsid w:val="00A7227B"/>
    <w:rsid w:val="00A7371F"/>
    <w:rsid w:val="00A74124"/>
    <w:rsid w:val="00A75ADD"/>
    <w:rsid w:val="00A7606B"/>
    <w:rsid w:val="00A77C60"/>
    <w:rsid w:val="00A80417"/>
    <w:rsid w:val="00A82E5A"/>
    <w:rsid w:val="00A83922"/>
    <w:rsid w:val="00A852BD"/>
    <w:rsid w:val="00A854BA"/>
    <w:rsid w:val="00A85BCF"/>
    <w:rsid w:val="00A867F2"/>
    <w:rsid w:val="00A86FD9"/>
    <w:rsid w:val="00A87B94"/>
    <w:rsid w:val="00A90C6A"/>
    <w:rsid w:val="00A910C5"/>
    <w:rsid w:val="00A913D2"/>
    <w:rsid w:val="00A9219E"/>
    <w:rsid w:val="00A928E5"/>
    <w:rsid w:val="00A92986"/>
    <w:rsid w:val="00A95B57"/>
    <w:rsid w:val="00AA2ED5"/>
    <w:rsid w:val="00AA4839"/>
    <w:rsid w:val="00AA54C7"/>
    <w:rsid w:val="00AA6594"/>
    <w:rsid w:val="00AB159C"/>
    <w:rsid w:val="00AB4B2D"/>
    <w:rsid w:val="00AB58EE"/>
    <w:rsid w:val="00AB5E97"/>
    <w:rsid w:val="00AB6AAF"/>
    <w:rsid w:val="00AB7972"/>
    <w:rsid w:val="00AB7E97"/>
    <w:rsid w:val="00AC2F5D"/>
    <w:rsid w:val="00AC5728"/>
    <w:rsid w:val="00AD0E67"/>
    <w:rsid w:val="00AD3464"/>
    <w:rsid w:val="00AD7B49"/>
    <w:rsid w:val="00AE0B96"/>
    <w:rsid w:val="00AE0BA1"/>
    <w:rsid w:val="00AE1069"/>
    <w:rsid w:val="00AE2F86"/>
    <w:rsid w:val="00AF06D1"/>
    <w:rsid w:val="00AF21D9"/>
    <w:rsid w:val="00AF47C7"/>
    <w:rsid w:val="00AF6539"/>
    <w:rsid w:val="00AF77E7"/>
    <w:rsid w:val="00AF78F8"/>
    <w:rsid w:val="00B0058C"/>
    <w:rsid w:val="00B01AE5"/>
    <w:rsid w:val="00B0244C"/>
    <w:rsid w:val="00B03864"/>
    <w:rsid w:val="00B038C1"/>
    <w:rsid w:val="00B03C6B"/>
    <w:rsid w:val="00B053B1"/>
    <w:rsid w:val="00B05538"/>
    <w:rsid w:val="00B07035"/>
    <w:rsid w:val="00B11FB7"/>
    <w:rsid w:val="00B129C6"/>
    <w:rsid w:val="00B13EA4"/>
    <w:rsid w:val="00B15F40"/>
    <w:rsid w:val="00B16C2B"/>
    <w:rsid w:val="00B205A9"/>
    <w:rsid w:val="00B20DC2"/>
    <w:rsid w:val="00B21768"/>
    <w:rsid w:val="00B22441"/>
    <w:rsid w:val="00B228CA"/>
    <w:rsid w:val="00B24906"/>
    <w:rsid w:val="00B258F8"/>
    <w:rsid w:val="00B26391"/>
    <w:rsid w:val="00B264D5"/>
    <w:rsid w:val="00B2675A"/>
    <w:rsid w:val="00B26E89"/>
    <w:rsid w:val="00B27365"/>
    <w:rsid w:val="00B27414"/>
    <w:rsid w:val="00B3196B"/>
    <w:rsid w:val="00B34211"/>
    <w:rsid w:val="00B34DDA"/>
    <w:rsid w:val="00B35516"/>
    <w:rsid w:val="00B506B8"/>
    <w:rsid w:val="00B526F1"/>
    <w:rsid w:val="00B53A6F"/>
    <w:rsid w:val="00B5443E"/>
    <w:rsid w:val="00B553B3"/>
    <w:rsid w:val="00B5556B"/>
    <w:rsid w:val="00B5735E"/>
    <w:rsid w:val="00B57B8A"/>
    <w:rsid w:val="00B61E21"/>
    <w:rsid w:val="00B63920"/>
    <w:rsid w:val="00B64470"/>
    <w:rsid w:val="00B664A4"/>
    <w:rsid w:val="00B671D3"/>
    <w:rsid w:val="00B67548"/>
    <w:rsid w:val="00B723E2"/>
    <w:rsid w:val="00B73D26"/>
    <w:rsid w:val="00B77146"/>
    <w:rsid w:val="00B80563"/>
    <w:rsid w:val="00B82184"/>
    <w:rsid w:val="00B83DAC"/>
    <w:rsid w:val="00B83F51"/>
    <w:rsid w:val="00B900A0"/>
    <w:rsid w:val="00B90304"/>
    <w:rsid w:val="00B90F3A"/>
    <w:rsid w:val="00B91317"/>
    <w:rsid w:val="00B9222E"/>
    <w:rsid w:val="00B92D89"/>
    <w:rsid w:val="00B9335B"/>
    <w:rsid w:val="00B933BA"/>
    <w:rsid w:val="00B94841"/>
    <w:rsid w:val="00B95BC0"/>
    <w:rsid w:val="00B95C25"/>
    <w:rsid w:val="00B96FC9"/>
    <w:rsid w:val="00BA24ED"/>
    <w:rsid w:val="00BA4847"/>
    <w:rsid w:val="00BA4AAA"/>
    <w:rsid w:val="00BA611A"/>
    <w:rsid w:val="00BA7DDA"/>
    <w:rsid w:val="00BB0DC7"/>
    <w:rsid w:val="00BB2059"/>
    <w:rsid w:val="00BC081F"/>
    <w:rsid w:val="00BC1CB5"/>
    <w:rsid w:val="00BC34B1"/>
    <w:rsid w:val="00BC35D0"/>
    <w:rsid w:val="00BC36E4"/>
    <w:rsid w:val="00BC3971"/>
    <w:rsid w:val="00BC4D7D"/>
    <w:rsid w:val="00BD20D2"/>
    <w:rsid w:val="00BD251E"/>
    <w:rsid w:val="00BD404C"/>
    <w:rsid w:val="00BD4354"/>
    <w:rsid w:val="00BD5E0F"/>
    <w:rsid w:val="00BD6A17"/>
    <w:rsid w:val="00BE0EF7"/>
    <w:rsid w:val="00BE3531"/>
    <w:rsid w:val="00BF01FA"/>
    <w:rsid w:val="00BF0FEF"/>
    <w:rsid w:val="00BF1F74"/>
    <w:rsid w:val="00BF28CD"/>
    <w:rsid w:val="00BF4913"/>
    <w:rsid w:val="00BF6010"/>
    <w:rsid w:val="00BF79EB"/>
    <w:rsid w:val="00BF79ED"/>
    <w:rsid w:val="00C1403E"/>
    <w:rsid w:val="00C20246"/>
    <w:rsid w:val="00C20347"/>
    <w:rsid w:val="00C206E9"/>
    <w:rsid w:val="00C2113A"/>
    <w:rsid w:val="00C211B2"/>
    <w:rsid w:val="00C21424"/>
    <w:rsid w:val="00C2222C"/>
    <w:rsid w:val="00C2496F"/>
    <w:rsid w:val="00C32160"/>
    <w:rsid w:val="00C32E71"/>
    <w:rsid w:val="00C3318E"/>
    <w:rsid w:val="00C35986"/>
    <w:rsid w:val="00C36447"/>
    <w:rsid w:val="00C364ED"/>
    <w:rsid w:val="00C36AE9"/>
    <w:rsid w:val="00C37301"/>
    <w:rsid w:val="00C40E0D"/>
    <w:rsid w:val="00C4409B"/>
    <w:rsid w:val="00C46CCB"/>
    <w:rsid w:val="00C507FE"/>
    <w:rsid w:val="00C51C5A"/>
    <w:rsid w:val="00C51D83"/>
    <w:rsid w:val="00C533D7"/>
    <w:rsid w:val="00C53822"/>
    <w:rsid w:val="00C53C54"/>
    <w:rsid w:val="00C546D9"/>
    <w:rsid w:val="00C55DB8"/>
    <w:rsid w:val="00C56FFD"/>
    <w:rsid w:val="00C61ABA"/>
    <w:rsid w:val="00C61F0E"/>
    <w:rsid w:val="00C65DF2"/>
    <w:rsid w:val="00C66C65"/>
    <w:rsid w:val="00C72360"/>
    <w:rsid w:val="00C728F4"/>
    <w:rsid w:val="00C72A63"/>
    <w:rsid w:val="00C73015"/>
    <w:rsid w:val="00C764BA"/>
    <w:rsid w:val="00C7672B"/>
    <w:rsid w:val="00C76D8D"/>
    <w:rsid w:val="00C77070"/>
    <w:rsid w:val="00C814D7"/>
    <w:rsid w:val="00C82548"/>
    <w:rsid w:val="00C8340F"/>
    <w:rsid w:val="00C845DB"/>
    <w:rsid w:val="00C846DD"/>
    <w:rsid w:val="00C915C1"/>
    <w:rsid w:val="00C92B84"/>
    <w:rsid w:val="00C9647F"/>
    <w:rsid w:val="00CA0F15"/>
    <w:rsid w:val="00CA1F20"/>
    <w:rsid w:val="00CA334C"/>
    <w:rsid w:val="00CA38F6"/>
    <w:rsid w:val="00CA5C0E"/>
    <w:rsid w:val="00CB0B65"/>
    <w:rsid w:val="00CB10D6"/>
    <w:rsid w:val="00CB2D31"/>
    <w:rsid w:val="00CB3D0A"/>
    <w:rsid w:val="00CB5C2C"/>
    <w:rsid w:val="00CB5D23"/>
    <w:rsid w:val="00CB5F77"/>
    <w:rsid w:val="00CC1157"/>
    <w:rsid w:val="00CC1E24"/>
    <w:rsid w:val="00CC3913"/>
    <w:rsid w:val="00CC5C93"/>
    <w:rsid w:val="00CC5E35"/>
    <w:rsid w:val="00CD1800"/>
    <w:rsid w:val="00CD1D6B"/>
    <w:rsid w:val="00CD1E99"/>
    <w:rsid w:val="00CD2B25"/>
    <w:rsid w:val="00CD4DAF"/>
    <w:rsid w:val="00CD5C64"/>
    <w:rsid w:val="00CD70A4"/>
    <w:rsid w:val="00CD749C"/>
    <w:rsid w:val="00CE4186"/>
    <w:rsid w:val="00CE64BB"/>
    <w:rsid w:val="00CF0DA8"/>
    <w:rsid w:val="00CF1852"/>
    <w:rsid w:val="00CF386F"/>
    <w:rsid w:val="00CF540A"/>
    <w:rsid w:val="00CF6BBA"/>
    <w:rsid w:val="00CF706C"/>
    <w:rsid w:val="00D05135"/>
    <w:rsid w:val="00D12447"/>
    <w:rsid w:val="00D128BB"/>
    <w:rsid w:val="00D166E6"/>
    <w:rsid w:val="00D20379"/>
    <w:rsid w:val="00D217FC"/>
    <w:rsid w:val="00D21E42"/>
    <w:rsid w:val="00D222B1"/>
    <w:rsid w:val="00D2236A"/>
    <w:rsid w:val="00D2532A"/>
    <w:rsid w:val="00D26572"/>
    <w:rsid w:val="00D275FD"/>
    <w:rsid w:val="00D27936"/>
    <w:rsid w:val="00D33511"/>
    <w:rsid w:val="00D3383D"/>
    <w:rsid w:val="00D34424"/>
    <w:rsid w:val="00D35F7A"/>
    <w:rsid w:val="00D37D65"/>
    <w:rsid w:val="00D424BC"/>
    <w:rsid w:val="00D42F02"/>
    <w:rsid w:val="00D44515"/>
    <w:rsid w:val="00D44EDD"/>
    <w:rsid w:val="00D462E8"/>
    <w:rsid w:val="00D47310"/>
    <w:rsid w:val="00D508A6"/>
    <w:rsid w:val="00D53549"/>
    <w:rsid w:val="00D550C9"/>
    <w:rsid w:val="00D5734A"/>
    <w:rsid w:val="00D70CB1"/>
    <w:rsid w:val="00D70F37"/>
    <w:rsid w:val="00D7607E"/>
    <w:rsid w:val="00D764E6"/>
    <w:rsid w:val="00D77F29"/>
    <w:rsid w:val="00D82136"/>
    <w:rsid w:val="00D821BE"/>
    <w:rsid w:val="00D90F81"/>
    <w:rsid w:val="00D948BA"/>
    <w:rsid w:val="00D9557C"/>
    <w:rsid w:val="00D95AAB"/>
    <w:rsid w:val="00D96D74"/>
    <w:rsid w:val="00DA0F48"/>
    <w:rsid w:val="00DA2E22"/>
    <w:rsid w:val="00DA4323"/>
    <w:rsid w:val="00DA48F4"/>
    <w:rsid w:val="00DB058A"/>
    <w:rsid w:val="00DB50B8"/>
    <w:rsid w:val="00DB7CF7"/>
    <w:rsid w:val="00DC0476"/>
    <w:rsid w:val="00DC1352"/>
    <w:rsid w:val="00DC5E1C"/>
    <w:rsid w:val="00DC6836"/>
    <w:rsid w:val="00DC6EBA"/>
    <w:rsid w:val="00DC7F23"/>
    <w:rsid w:val="00DD0AB9"/>
    <w:rsid w:val="00DD5163"/>
    <w:rsid w:val="00DD6A49"/>
    <w:rsid w:val="00DD7FB1"/>
    <w:rsid w:val="00DE32F6"/>
    <w:rsid w:val="00DE4A3C"/>
    <w:rsid w:val="00DE563A"/>
    <w:rsid w:val="00DE6ACB"/>
    <w:rsid w:val="00DE7C65"/>
    <w:rsid w:val="00DF1DF5"/>
    <w:rsid w:val="00DF4176"/>
    <w:rsid w:val="00DF4228"/>
    <w:rsid w:val="00DF46E9"/>
    <w:rsid w:val="00DF6398"/>
    <w:rsid w:val="00DF670F"/>
    <w:rsid w:val="00DF7CAE"/>
    <w:rsid w:val="00E0034D"/>
    <w:rsid w:val="00E041ED"/>
    <w:rsid w:val="00E051F6"/>
    <w:rsid w:val="00E06CD2"/>
    <w:rsid w:val="00E07739"/>
    <w:rsid w:val="00E12DDE"/>
    <w:rsid w:val="00E13D83"/>
    <w:rsid w:val="00E13DC3"/>
    <w:rsid w:val="00E157D5"/>
    <w:rsid w:val="00E2061A"/>
    <w:rsid w:val="00E20EE5"/>
    <w:rsid w:val="00E21639"/>
    <w:rsid w:val="00E23689"/>
    <w:rsid w:val="00E23CC4"/>
    <w:rsid w:val="00E2442C"/>
    <w:rsid w:val="00E25515"/>
    <w:rsid w:val="00E2589E"/>
    <w:rsid w:val="00E2728A"/>
    <w:rsid w:val="00E2733C"/>
    <w:rsid w:val="00E27C53"/>
    <w:rsid w:val="00E30DFE"/>
    <w:rsid w:val="00E33561"/>
    <w:rsid w:val="00E34592"/>
    <w:rsid w:val="00E34F00"/>
    <w:rsid w:val="00E35438"/>
    <w:rsid w:val="00E35596"/>
    <w:rsid w:val="00E3747C"/>
    <w:rsid w:val="00E40109"/>
    <w:rsid w:val="00E406D9"/>
    <w:rsid w:val="00E409ED"/>
    <w:rsid w:val="00E41EC1"/>
    <w:rsid w:val="00E43BFD"/>
    <w:rsid w:val="00E446AF"/>
    <w:rsid w:val="00E450DF"/>
    <w:rsid w:val="00E4786D"/>
    <w:rsid w:val="00E47C0E"/>
    <w:rsid w:val="00E51CFE"/>
    <w:rsid w:val="00E51DCF"/>
    <w:rsid w:val="00E53A2E"/>
    <w:rsid w:val="00E5559F"/>
    <w:rsid w:val="00E6097F"/>
    <w:rsid w:val="00E61144"/>
    <w:rsid w:val="00E612E6"/>
    <w:rsid w:val="00E618A1"/>
    <w:rsid w:val="00E62DEC"/>
    <w:rsid w:val="00E630F9"/>
    <w:rsid w:val="00E65CA9"/>
    <w:rsid w:val="00E666D3"/>
    <w:rsid w:val="00E75467"/>
    <w:rsid w:val="00E77CE2"/>
    <w:rsid w:val="00E77F9C"/>
    <w:rsid w:val="00E80907"/>
    <w:rsid w:val="00E829B2"/>
    <w:rsid w:val="00E83936"/>
    <w:rsid w:val="00E841DE"/>
    <w:rsid w:val="00E854F0"/>
    <w:rsid w:val="00E8580C"/>
    <w:rsid w:val="00E864BD"/>
    <w:rsid w:val="00E86994"/>
    <w:rsid w:val="00E906E1"/>
    <w:rsid w:val="00E91AD4"/>
    <w:rsid w:val="00E92EAB"/>
    <w:rsid w:val="00E92FCF"/>
    <w:rsid w:val="00E94A3F"/>
    <w:rsid w:val="00E9695E"/>
    <w:rsid w:val="00E970FB"/>
    <w:rsid w:val="00EA0084"/>
    <w:rsid w:val="00EA02F1"/>
    <w:rsid w:val="00EA1DDF"/>
    <w:rsid w:val="00EA69D2"/>
    <w:rsid w:val="00EA6A7E"/>
    <w:rsid w:val="00EA7838"/>
    <w:rsid w:val="00EB03CA"/>
    <w:rsid w:val="00EB049A"/>
    <w:rsid w:val="00EB136D"/>
    <w:rsid w:val="00EB2E89"/>
    <w:rsid w:val="00EB41A7"/>
    <w:rsid w:val="00EB64C0"/>
    <w:rsid w:val="00EB762A"/>
    <w:rsid w:val="00EC0447"/>
    <w:rsid w:val="00EC0ACE"/>
    <w:rsid w:val="00EC1687"/>
    <w:rsid w:val="00EC4150"/>
    <w:rsid w:val="00EC59AD"/>
    <w:rsid w:val="00EC5F95"/>
    <w:rsid w:val="00EC7690"/>
    <w:rsid w:val="00EC7714"/>
    <w:rsid w:val="00ED0DC3"/>
    <w:rsid w:val="00ED0FFD"/>
    <w:rsid w:val="00ED4863"/>
    <w:rsid w:val="00ED5B7B"/>
    <w:rsid w:val="00EE46DE"/>
    <w:rsid w:val="00EE62AB"/>
    <w:rsid w:val="00EE728F"/>
    <w:rsid w:val="00EE7C49"/>
    <w:rsid w:val="00EF1BF4"/>
    <w:rsid w:val="00EF41F7"/>
    <w:rsid w:val="00EF4283"/>
    <w:rsid w:val="00EF5814"/>
    <w:rsid w:val="00EF633B"/>
    <w:rsid w:val="00F013BC"/>
    <w:rsid w:val="00F02573"/>
    <w:rsid w:val="00F040F3"/>
    <w:rsid w:val="00F04ACD"/>
    <w:rsid w:val="00F04D14"/>
    <w:rsid w:val="00F05330"/>
    <w:rsid w:val="00F0758E"/>
    <w:rsid w:val="00F11746"/>
    <w:rsid w:val="00F11CCA"/>
    <w:rsid w:val="00F11E96"/>
    <w:rsid w:val="00F125C7"/>
    <w:rsid w:val="00F13013"/>
    <w:rsid w:val="00F1383B"/>
    <w:rsid w:val="00F15105"/>
    <w:rsid w:val="00F20599"/>
    <w:rsid w:val="00F257A5"/>
    <w:rsid w:val="00F25E0B"/>
    <w:rsid w:val="00F32D07"/>
    <w:rsid w:val="00F33FBF"/>
    <w:rsid w:val="00F34E91"/>
    <w:rsid w:val="00F37272"/>
    <w:rsid w:val="00F373CC"/>
    <w:rsid w:val="00F40351"/>
    <w:rsid w:val="00F42D3D"/>
    <w:rsid w:val="00F44A18"/>
    <w:rsid w:val="00F44C3C"/>
    <w:rsid w:val="00F4508B"/>
    <w:rsid w:val="00F51A12"/>
    <w:rsid w:val="00F52726"/>
    <w:rsid w:val="00F54795"/>
    <w:rsid w:val="00F56613"/>
    <w:rsid w:val="00F56C82"/>
    <w:rsid w:val="00F57640"/>
    <w:rsid w:val="00F600C2"/>
    <w:rsid w:val="00F60305"/>
    <w:rsid w:val="00F65493"/>
    <w:rsid w:val="00F656C4"/>
    <w:rsid w:val="00F70481"/>
    <w:rsid w:val="00F7184C"/>
    <w:rsid w:val="00F72341"/>
    <w:rsid w:val="00F74375"/>
    <w:rsid w:val="00F74E6E"/>
    <w:rsid w:val="00F752E8"/>
    <w:rsid w:val="00F76211"/>
    <w:rsid w:val="00F80AE1"/>
    <w:rsid w:val="00F80B7D"/>
    <w:rsid w:val="00F810BF"/>
    <w:rsid w:val="00F810FC"/>
    <w:rsid w:val="00F8132B"/>
    <w:rsid w:val="00F8197F"/>
    <w:rsid w:val="00F82E98"/>
    <w:rsid w:val="00F830F2"/>
    <w:rsid w:val="00F85BDD"/>
    <w:rsid w:val="00F861A8"/>
    <w:rsid w:val="00F87722"/>
    <w:rsid w:val="00F87E74"/>
    <w:rsid w:val="00F91DA7"/>
    <w:rsid w:val="00F93158"/>
    <w:rsid w:val="00F949D2"/>
    <w:rsid w:val="00FA1A6C"/>
    <w:rsid w:val="00FA30AC"/>
    <w:rsid w:val="00FA3713"/>
    <w:rsid w:val="00FA4824"/>
    <w:rsid w:val="00FB0606"/>
    <w:rsid w:val="00FB0D57"/>
    <w:rsid w:val="00FB1D28"/>
    <w:rsid w:val="00FB2F9F"/>
    <w:rsid w:val="00FB3239"/>
    <w:rsid w:val="00FB5E13"/>
    <w:rsid w:val="00FB6AEA"/>
    <w:rsid w:val="00FB7D5B"/>
    <w:rsid w:val="00FC112D"/>
    <w:rsid w:val="00FC25AF"/>
    <w:rsid w:val="00FC28DF"/>
    <w:rsid w:val="00FC435D"/>
    <w:rsid w:val="00FC573B"/>
    <w:rsid w:val="00FD1E21"/>
    <w:rsid w:val="00FD51D1"/>
    <w:rsid w:val="00FD5C07"/>
    <w:rsid w:val="00FE0800"/>
    <w:rsid w:val="00FE0DE1"/>
    <w:rsid w:val="00FE2CE9"/>
    <w:rsid w:val="00FE316F"/>
    <w:rsid w:val="00FE3342"/>
    <w:rsid w:val="00FF0693"/>
    <w:rsid w:val="00FF26C0"/>
    <w:rsid w:val="00FF3943"/>
    <w:rsid w:val="00FF4054"/>
    <w:rsid w:val="00FF44CC"/>
    <w:rsid w:val="00FF4688"/>
    <w:rsid w:val="00FF4A9E"/>
    <w:rsid w:val="00FF4DE3"/>
    <w:rsid w:val="00FF5EDC"/>
    <w:rsid w:val="21DB7E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8ABE9F9"/>
  <w15:docId w15:val="{8C87F8FE-C636-4FD1-A205-52D01861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qFormat="1"/>
    <w:lsdException w:name="annotation text" w:semiHidden="1" w:uiPriority="99" w:unhideWhenUsed="1"/>
    <w:lsdException w:name="header"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C2C"/>
    <w:rPr>
      <w:rFonts w:eastAsia="바탕체"/>
      <w:sz w:val="24"/>
      <w:szCs w:val="24"/>
      <w:lang w:eastAsia="en-US"/>
    </w:rPr>
  </w:style>
  <w:style w:type="paragraph" w:styleId="Heading1">
    <w:name w:val="heading 1"/>
    <w:basedOn w:val="Normal"/>
    <w:next w:val="Normal"/>
    <w:qFormat/>
    <w:rsid w:val="00A7371F"/>
    <w:pPr>
      <w:keepNext/>
      <w:jc w:val="center"/>
      <w:outlineLvl w:val="0"/>
    </w:pPr>
    <w:rPr>
      <w:b/>
      <w:bCs/>
      <w:u w:val="single"/>
    </w:rPr>
  </w:style>
  <w:style w:type="paragraph" w:styleId="Heading2">
    <w:name w:val="heading 2"/>
    <w:basedOn w:val="Normal"/>
    <w:next w:val="Normal"/>
    <w:link w:val="Heading2Char"/>
    <w:unhideWhenUsed/>
    <w:qFormat/>
    <w:rsid w:val="00A7371F"/>
    <w:pPr>
      <w:keepNext/>
      <w:keepLines/>
      <w:spacing w:before="260" w:after="260" w:line="416" w:lineRule="auto"/>
      <w:outlineLvl w:val="1"/>
    </w:pPr>
    <w:rPr>
      <w:rFonts w:ascii="Cambria" w:eastAsia="SimSun" w:hAnsi="Cambria"/>
      <w:b/>
      <w:bCs/>
      <w:sz w:val="32"/>
      <w:szCs w:val="32"/>
    </w:rPr>
  </w:style>
  <w:style w:type="paragraph" w:styleId="Heading3">
    <w:name w:val="heading 3"/>
    <w:basedOn w:val="Normal"/>
    <w:next w:val="Normal"/>
    <w:link w:val="Heading3Char"/>
    <w:qFormat/>
    <w:rsid w:val="00A737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A7371F"/>
    <w:pPr>
      <w:keepNext/>
      <w:keepLines/>
      <w:spacing w:before="280" w:after="290" w:line="376" w:lineRule="auto"/>
      <w:outlineLvl w:val="3"/>
    </w:pPr>
    <w:rPr>
      <w:rFonts w:ascii="Cambria" w:eastAsia="SimSun" w:hAnsi="Cambria"/>
      <w:b/>
      <w:bCs/>
      <w:sz w:val="28"/>
      <w:szCs w:val="28"/>
    </w:rPr>
  </w:style>
  <w:style w:type="paragraph" w:styleId="Heading5">
    <w:name w:val="heading 5"/>
    <w:basedOn w:val="Normal"/>
    <w:next w:val="Normal"/>
    <w:link w:val="Heading5Char"/>
    <w:uiPriority w:val="9"/>
    <w:unhideWhenUsed/>
    <w:qFormat/>
    <w:rsid w:val="00A7371F"/>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A7371F"/>
    <w:pPr>
      <w:keepNext/>
      <w:keepLines/>
      <w:spacing w:before="240" w:after="64" w:line="320" w:lineRule="auto"/>
      <w:outlineLvl w:val="5"/>
    </w:pPr>
    <w:rPr>
      <w:rFonts w:ascii="Cambria" w:eastAsia="SimSun" w:hAnsi="Cambria"/>
      <w:b/>
      <w:bCs/>
    </w:rPr>
  </w:style>
  <w:style w:type="paragraph" w:styleId="Heading7">
    <w:name w:val="heading 7"/>
    <w:basedOn w:val="Normal"/>
    <w:next w:val="Normal"/>
    <w:link w:val="Heading7Char"/>
    <w:uiPriority w:val="9"/>
    <w:unhideWhenUsed/>
    <w:qFormat/>
    <w:rsid w:val="00A7371F"/>
    <w:pPr>
      <w:keepNext/>
      <w:keepLines/>
      <w:spacing w:before="240" w:after="64" w:line="320" w:lineRule="auto"/>
      <w:outlineLvl w:val="6"/>
    </w:pPr>
    <w:rPr>
      <w:b/>
      <w:bCs/>
    </w:rPr>
  </w:style>
  <w:style w:type="paragraph" w:styleId="Heading8">
    <w:name w:val="heading 8"/>
    <w:basedOn w:val="Normal"/>
    <w:next w:val="Normal"/>
    <w:qFormat/>
    <w:rsid w:val="00A7371F"/>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
    <w:unhideWhenUsed/>
    <w:qFormat/>
    <w:rsid w:val="00A7371F"/>
    <w:pPr>
      <w:keepNext/>
      <w:keepLines/>
      <w:spacing w:before="240" w:after="64" w:line="320" w:lineRule="auto"/>
      <w:outlineLvl w:val="8"/>
    </w:pPr>
    <w:rPr>
      <w:rFonts w:ascii="Cambria" w:eastAsia="SimSun" w:hAnsi="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A7371F"/>
    <w:rPr>
      <w:b/>
      <w:bCs/>
    </w:rPr>
  </w:style>
  <w:style w:type="paragraph" w:styleId="CommentText">
    <w:name w:val="annotation text"/>
    <w:basedOn w:val="Normal"/>
    <w:link w:val="CommentTextChar"/>
    <w:uiPriority w:val="99"/>
    <w:unhideWhenUsed/>
    <w:rsid w:val="00A7371F"/>
  </w:style>
  <w:style w:type="paragraph" w:styleId="NormalIndent">
    <w:name w:val="Normal Indent"/>
    <w:basedOn w:val="Normal"/>
    <w:rsid w:val="00A7371F"/>
    <w:pPr>
      <w:widowControl w:val="0"/>
      <w:wordWrap w:val="0"/>
      <w:ind w:left="851"/>
      <w:jc w:val="both"/>
    </w:pPr>
    <w:rPr>
      <w:kern w:val="2"/>
      <w:sz w:val="20"/>
      <w:szCs w:val="20"/>
      <w:lang w:eastAsia="ko-KR"/>
    </w:rPr>
  </w:style>
  <w:style w:type="paragraph" w:styleId="DocumentMap">
    <w:name w:val="Document Map"/>
    <w:basedOn w:val="Normal"/>
    <w:link w:val="DocumentMapChar"/>
    <w:uiPriority w:val="99"/>
    <w:unhideWhenUsed/>
    <w:rsid w:val="00A7371F"/>
    <w:rPr>
      <w:rFonts w:ascii="SimSun" w:eastAsia="SimSun"/>
      <w:sz w:val="18"/>
      <w:szCs w:val="18"/>
    </w:rPr>
  </w:style>
  <w:style w:type="paragraph" w:styleId="BodyTextIndent">
    <w:name w:val="Body Text Indent"/>
    <w:basedOn w:val="Normal"/>
    <w:link w:val="BodyTextIndentChar"/>
    <w:rsid w:val="00A7371F"/>
    <w:pPr>
      <w:spacing w:line="360" w:lineRule="auto"/>
      <w:ind w:left="720" w:hanging="360"/>
      <w:jc w:val="both"/>
    </w:pPr>
  </w:style>
  <w:style w:type="paragraph" w:styleId="EndnoteText">
    <w:name w:val="endnote text"/>
    <w:basedOn w:val="Normal"/>
    <w:link w:val="EndnoteTextChar"/>
    <w:uiPriority w:val="99"/>
    <w:unhideWhenUsed/>
    <w:rsid w:val="00A7371F"/>
    <w:pPr>
      <w:snapToGrid w:val="0"/>
    </w:pPr>
  </w:style>
  <w:style w:type="paragraph" w:styleId="BalloonText">
    <w:name w:val="Balloon Text"/>
    <w:basedOn w:val="Normal"/>
    <w:link w:val="BalloonTextChar"/>
    <w:rsid w:val="00A7371F"/>
    <w:rPr>
      <w:rFonts w:ascii="Tahoma" w:hAnsi="Tahoma" w:cs="Tahoma"/>
      <w:sz w:val="16"/>
      <w:szCs w:val="16"/>
    </w:rPr>
  </w:style>
  <w:style w:type="paragraph" w:styleId="Footer">
    <w:name w:val="footer"/>
    <w:basedOn w:val="Normal"/>
    <w:link w:val="FooterChar"/>
    <w:uiPriority w:val="99"/>
    <w:rsid w:val="00A7371F"/>
    <w:pPr>
      <w:tabs>
        <w:tab w:val="center" w:pos="4320"/>
        <w:tab w:val="right" w:pos="8640"/>
      </w:tabs>
    </w:pPr>
  </w:style>
  <w:style w:type="paragraph" w:styleId="Header">
    <w:name w:val="header"/>
    <w:basedOn w:val="Normal"/>
    <w:rsid w:val="00A7371F"/>
    <w:pPr>
      <w:tabs>
        <w:tab w:val="center" w:pos="4320"/>
        <w:tab w:val="right" w:pos="8640"/>
      </w:tabs>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A7371F"/>
    <w:pPr>
      <w:snapToGrid w:val="0"/>
    </w:pPr>
  </w:style>
  <w:style w:type="paragraph" w:styleId="NormalWeb">
    <w:name w:val="Normal (Web)"/>
    <w:basedOn w:val="Normal"/>
    <w:uiPriority w:val="99"/>
    <w:unhideWhenUsed/>
    <w:rsid w:val="00A7371F"/>
    <w:pPr>
      <w:spacing w:before="100" w:beforeAutospacing="1" w:after="100" w:afterAutospacing="1"/>
    </w:pPr>
    <w:rPr>
      <w:rFonts w:ascii="SimSun" w:eastAsia="SimSun" w:hAnsi="SimSun" w:cs="SimSun"/>
      <w:lang w:eastAsia="zh-CN"/>
    </w:rPr>
  </w:style>
  <w:style w:type="character" w:styleId="EndnoteReference">
    <w:name w:val="endnote reference"/>
    <w:basedOn w:val="DefaultParagraphFont"/>
    <w:uiPriority w:val="99"/>
    <w:unhideWhenUsed/>
    <w:rsid w:val="00A7371F"/>
    <w:rPr>
      <w:vertAlign w:val="superscript"/>
    </w:rPr>
  </w:style>
  <w:style w:type="character" w:styleId="PageNumber">
    <w:name w:val="page number"/>
    <w:basedOn w:val="DefaultParagraphFont"/>
    <w:rsid w:val="00A7371F"/>
  </w:style>
  <w:style w:type="character" w:styleId="Hyperlink">
    <w:name w:val="Hyperlink"/>
    <w:basedOn w:val="DefaultParagraphFont"/>
    <w:uiPriority w:val="99"/>
    <w:rsid w:val="00A7371F"/>
    <w:rPr>
      <w:color w:val="0000FF"/>
      <w:u w:val="single"/>
    </w:rPr>
  </w:style>
  <w:style w:type="character" w:styleId="CommentReference">
    <w:name w:val="annotation reference"/>
    <w:basedOn w:val="DefaultParagraphFont"/>
    <w:uiPriority w:val="99"/>
    <w:unhideWhenUsed/>
    <w:rsid w:val="00A7371F"/>
    <w:rPr>
      <w:sz w:val="21"/>
      <w:szCs w:val="21"/>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unhideWhenUsed/>
    <w:qFormat/>
    <w:rsid w:val="00A7371F"/>
    <w:rPr>
      <w:vertAlign w:val="superscript"/>
    </w:rPr>
  </w:style>
  <w:style w:type="paragraph" w:customStyle="1" w:styleId="a">
    <w:name w:val="표"/>
    <w:basedOn w:val="Normal"/>
    <w:next w:val="Normal"/>
    <w:rsid w:val="00A7371F"/>
    <w:pPr>
      <w:widowControl w:val="0"/>
      <w:wordWrap w:val="0"/>
      <w:autoSpaceDE w:val="0"/>
      <w:autoSpaceDN w:val="0"/>
      <w:jc w:val="both"/>
    </w:pPr>
    <w:rPr>
      <w:rFonts w:ascii="Book Antiqua" w:eastAsia="굴림체" w:hAnsi="Book Antiqua"/>
      <w:b/>
      <w:bCs/>
      <w:kern w:val="2"/>
      <w:sz w:val="28"/>
      <w:lang w:eastAsia="ko-KR"/>
    </w:rPr>
  </w:style>
  <w:style w:type="paragraph" w:customStyle="1" w:styleId="Note">
    <w:name w:val="Note"/>
    <w:basedOn w:val="Normal"/>
    <w:rsid w:val="00A7371F"/>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rsid w:val="00A7371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CharChar">
    <w:name w:val="Char Char"/>
    <w:basedOn w:val="Normal"/>
    <w:rsid w:val="00A7371F"/>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Normalaftertitle">
    <w:name w:val="Normal_after_title"/>
    <w:basedOn w:val="Normal"/>
    <w:next w:val="Normal"/>
    <w:link w:val="NormalaftertitleChar"/>
    <w:rsid w:val="00A7371F"/>
    <w:pPr>
      <w:tabs>
        <w:tab w:val="left" w:pos="794"/>
        <w:tab w:val="left" w:pos="1191"/>
        <w:tab w:val="left" w:pos="1588"/>
        <w:tab w:val="left" w:pos="1985"/>
      </w:tabs>
      <w:overflowPunct w:val="0"/>
      <w:autoSpaceDE w:val="0"/>
      <w:autoSpaceDN w:val="0"/>
      <w:adjustRightInd w:val="0"/>
      <w:spacing w:before="360"/>
      <w:textAlignment w:val="baseline"/>
    </w:pPr>
  </w:style>
  <w:style w:type="paragraph" w:customStyle="1" w:styleId="enumlev1">
    <w:name w:val="enumlev1"/>
    <w:basedOn w:val="Normal"/>
    <w:link w:val="enumlev1Char"/>
    <w:qFormat/>
    <w:rsid w:val="00A7371F"/>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enumlev2">
    <w:name w:val="enumlev2"/>
    <w:basedOn w:val="enumlev1"/>
    <w:rsid w:val="00A7371F"/>
    <w:pPr>
      <w:ind w:left="1191" w:hanging="397"/>
    </w:pPr>
  </w:style>
  <w:style w:type="paragraph" w:customStyle="1" w:styleId="AnnexNoTitle">
    <w:name w:val="Annex_NoTitle"/>
    <w:basedOn w:val="Normal"/>
    <w:next w:val="Normalaftertitle"/>
    <w:link w:val="AnnexNoTitleChar"/>
    <w:rsid w:val="00A737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rPr>
  </w:style>
  <w:style w:type="paragraph" w:customStyle="1" w:styleId="Headingb">
    <w:name w:val="Heading_b"/>
    <w:basedOn w:val="Normal"/>
    <w:next w:val="Normal"/>
    <w:rsid w:val="00A7371F"/>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rPr>
  </w:style>
  <w:style w:type="paragraph" w:customStyle="1" w:styleId="headingb0">
    <w:name w:val="heading_b"/>
    <w:basedOn w:val="Heading3"/>
    <w:next w:val="Normal"/>
    <w:rsid w:val="00A7371F"/>
    <w:pPr>
      <w:keepLines/>
      <w:tabs>
        <w:tab w:val="left" w:pos="794"/>
        <w:tab w:val="left" w:pos="2127"/>
        <w:tab w:val="left" w:pos="2410"/>
        <w:tab w:val="left" w:pos="2921"/>
        <w:tab w:val="left" w:pos="3261"/>
      </w:tabs>
      <w:spacing w:before="160" w:after="0"/>
      <w:outlineLvl w:val="9"/>
    </w:pPr>
    <w:rPr>
      <w:rFonts w:ascii="Times New Roman" w:eastAsia="Times New Roman" w:hAnsi="Times New Roman" w:cs="Times New Roman"/>
      <w:sz w:val="24"/>
      <w:szCs w:val="24"/>
    </w:rPr>
  </w:style>
  <w:style w:type="paragraph" w:customStyle="1" w:styleId="Call">
    <w:name w:val="Call"/>
    <w:basedOn w:val="Normal"/>
    <w:next w:val="Normal"/>
    <w:link w:val="CallChar"/>
    <w:rsid w:val="00A7371F"/>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바탕"/>
      <w:i/>
      <w:szCs w:val="20"/>
    </w:rPr>
  </w:style>
  <w:style w:type="paragraph" w:customStyle="1" w:styleId="Tabletext">
    <w:name w:val="Table_text"/>
    <w:basedOn w:val="Normal"/>
    <w:link w:val="TabletextChar"/>
    <w:qFormat/>
    <w:rsid w:val="00A737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paragraph" w:customStyle="1" w:styleId="Title1">
    <w:name w:val="Title 1"/>
    <w:basedOn w:val="Normal"/>
    <w:next w:val="Normal"/>
    <w:rsid w:val="00A7371F"/>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SimSun"/>
      <w:caps/>
      <w:sz w:val="28"/>
      <w:szCs w:val="20"/>
    </w:rPr>
  </w:style>
  <w:style w:type="paragraph" w:customStyle="1" w:styleId="1">
    <w:name w:val="목록 단락1"/>
    <w:basedOn w:val="Normal"/>
    <w:uiPriority w:val="34"/>
    <w:qFormat/>
    <w:rsid w:val="00A7371F"/>
    <w:pPr>
      <w:ind w:leftChars="400" w:left="800"/>
    </w:pPr>
  </w:style>
  <w:style w:type="paragraph" w:customStyle="1" w:styleId="Char1CharChar1Char">
    <w:name w:val="Char1 Char Char1 Char"/>
    <w:basedOn w:val="Normal"/>
    <w:rsid w:val="00A7371F"/>
    <w:pPr>
      <w:tabs>
        <w:tab w:val="left" w:pos="540"/>
        <w:tab w:val="left" w:pos="1260"/>
        <w:tab w:val="left" w:pos="1800"/>
      </w:tabs>
      <w:spacing w:before="240" w:after="160" w:line="240" w:lineRule="exact"/>
    </w:pPr>
    <w:rPr>
      <w:rFonts w:ascii="Verdana" w:eastAsia="맑은 고딕" w:hAnsi="Verdana"/>
      <w:szCs w:val="20"/>
    </w:rPr>
  </w:style>
  <w:style w:type="paragraph" w:customStyle="1" w:styleId="CharCharCharCharCharChar">
    <w:name w:val="Char Char Char Char Char Char"/>
    <w:basedOn w:val="Normal"/>
    <w:rsid w:val="00A7371F"/>
    <w:pPr>
      <w:tabs>
        <w:tab w:val="left" w:pos="540"/>
        <w:tab w:val="left" w:pos="1260"/>
        <w:tab w:val="left" w:pos="1800"/>
      </w:tabs>
      <w:spacing w:before="240" w:after="160" w:line="240" w:lineRule="exact"/>
    </w:pPr>
    <w:rPr>
      <w:rFonts w:ascii="Verdana" w:eastAsia="맑은 고딕" w:hAnsi="Verdana"/>
      <w:szCs w:val="20"/>
    </w:rPr>
  </w:style>
  <w:style w:type="paragraph" w:customStyle="1" w:styleId="Default">
    <w:name w:val="Default"/>
    <w:rsid w:val="00A7371F"/>
    <w:pPr>
      <w:widowControl w:val="0"/>
      <w:autoSpaceDE w:val="0"/>
      <w:autoSpaceDN w:val="0"/>
      <w:adjustRightInd w:val="0"/>
    </w:pPr>
    <w:rPr>
      <w:rFonts w:eastAsia="SimSun"/>
      <w:color w:val="000000"/>
      <w:sz w:val="24"/>
      <w:szCs w:val="24"/>
    </w:rPr>
  </w:style>
  <w:style w:type="paragraph" w:customStyle="1" w:styleId="10">
    <w:name w:val="列出段落1"/>
    <w:basedOn w:val="Normal"/>
    <w:uiPriority w:val="34"/>
    <w:qFormat/>
    <w:rsid w:val="00A7371F"/>
    <w:pPr>
      <w:ind w:firstLineChars="200" w:firstLine="420"/>
    </w:pPr>
  </w:style>
  <w:style w:type="paragraph" w:customStyle="1" w:styleId="a0">
    <w:name w:val="表文"/>
    <w:basedOn w:val="Normal"/>
    <w:rsid w:val="00A7371F"/>
    <w:pPr>
      <w:widowControl w:val="0"/>
      <w:tabs>
        <w:tab w:val="left" w:pos="0"/>
      </w:tabs>
      <w:ind w:firstLine="425"/>
      <w:jc w:val="both"/>
      <w:textAlignment w:val="baseline"/>
      <w:outlineLvl w:val="0"/>
    </w:pPr>
    <w:rPr>
      <w:rFonts w:eastAsia="SimSun"/>
      <w:sz w:val="15"/>
      <w:szCs w:val="20"/>
      <w:lang w:eastAsia="zh-CN"/>
    </w:rPr>
  </w:style>
  <w:style w:type="paragraph" w:customStyle="1" w:styleId="11">
    <w:name w:val="修订1"/>
    <w:hidden/>
    <w:uiPriority w:val="99"/>
    <w:semiHidden/>
    <w:rsid w:val="00A7371F"/>
    <w:rPr>
      <w:rFonts w:eastAsia="바탕체"/>
      <w:sz w:val="24"/>
      <w:szCs w:val="24"/>
      <w:lang w:eastAsia="en-US"/>
    </w:rPr>
  </w:style>
  <w:style w:type="paragraph" w:customStyle="1" w:styleId="Tablehead">
    <w:name w:val="Table_head"/>
    <w:basedOn w:val="Normal"/>
    <w:next w:val="Normal"/>
    <w:link w:val="TableheadChar"/>
    <w:qFormat/>
    <w:rsid w:val="00A7371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SimSun"/>
      <w:b/>
      <w:sz w:val="22"/>
      <w:szCs w:val="20"/>
    </w:rPr>
  </w:style>
  <w:style w:type="character" w:customStyle="1" w:styleId="content">
    <w:name w:val="content"/>
    <w:basedOn w:val="DefaultParagraphFont"/>
    <w:rsid w:val="00A7371F"/>
  </w:style>
  <w:style w:type="character" w:customStyle="1" w:styleId="FooterChar">
    <w:name w:val="Footer Char"/>
    <w:basedOn w:val="DefaultParagraphFont"/>
    <w:link w:val="Footer"/>
    <w:uiPriority w:val="99"/>
    <w:rsid w:val="00A7371F"/>
    <w:rPr>
      <w:rFonts w:eastAsia="바탕체"/>
      <w:sz w:val="24"/>
      <w:szCs w:val="24"/>
    </w:rPr>
  </w:style>
  <w:style w:type="character" w:customStyle="1" w:styleId="Artref">
    <w:name w:val="Art_ref"/>
    <w:basedOn w:val="DefaultParagraphFont"/>
    <w:rsid w:val="00A7371F"/>
    <w:rPr>
      <w:color w:val="3366FF"/>
    </w:rPr>
  </w:style>
  <w:style w:type="character" w:customStyle="1" w:styleId="Tablefreq">
    <w:name w:val="Table_freq"/>
    <w:basedOn w:val="DefaultParagraphFont"/>
    <w:rsid w:val="00A7371F"/>
    <w:rPr>
      <w:b/>
      <w:color w:val="FFCC00"/>
    </w:rPr>
  </w:style>
  <w:style w:type="character" w:customStyle="1" w:styleId="NormalaftertitleChar">
    <w:name w:val="Normal_after_title Char"/>
    <w:basedOn w:val="DefaultParagraphFont"/>
    <w:link w:val="Normalaftertitle"/>
    <w:rsid w:val="00A7371F"/>
    <w:rPr>
      <w:rFonts w:eastAsia="바탕체"/>
      <w:sz w:val="24"/>
      <w:szCs w:val="24"/>
      <w:lang w:eastAsia="en-US" w:bidi="ar-SA"/>
    </w:rPr>
  </w:style>
  <w:style w:type="character" w:customStyle="1" w:styleId="enumlev1Char">
    <w:name w:val="enumlev1 Char"/>
    <w:basedOn w:val="DefaultParagraphFont"/>
    <w:link w:val="enumlev1"/>
    <w:rsid w:val="00A7371F"/>
    <w:rPr>
      <w:rFonts w:eastAsia="바탕체"/>
      <w:sz w:val="24"/>
      <w:szCs w:val="24"/>
      <w:lang w:eastAsia="en-US" w:bidi="ar-SA"/>
    </w:rPr>
  </w:style>
  <w:style w:type="character" w:customStyle="1" w:styleId="AnnexNoTitleChar">
    <w:name w:val="Annex_NoTitle Char"/>
    <w:basedOn w:val="DefaultParagraphFont"/>
    <w:link w:val="AnnexNoTitle"/>
    <w:rsid w:val="00A7371F"/>
    <w:rPr>
      <w:rFonts w:eastAsia="바탕체"/>
      <w:b/>
      <w:sz w:val="28"/>
      <w:szCs w:val="24"/>
      <w:lang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7371F"/>
    <w:rPr>
      <w:rFonts w:eastAsia="바탕체"/>
      <w:sz w:val="24"/>
      <w:szCs w:val="24"/>
      <w:lang w:eastAsia="en-US"/>
    </w:rPr>
  </w:style>
  <w:style w:type="character" w:customStyle="1" w:styleId="EndnoteTextChar">
    <w:name w:val="Endnote Text Char"/>
    <w:basedOn w:val="DefaultParagraphFont"/>
    <w:link w:val="EndnoteText"/>
    <w:uiPriority w:val="99"/>
    <w:rsid w:val="00A7371F"/>
    <w:rPr>
      <w:rFonts w:eastAsia="바탕체"/>
      <w:sz w:val="24"/>
      <w:szCs w:val="24"/>
      <w:lang w:eastAsia="en-US"/>
    </w:rPr>
  </w:style>
  <w:style w:type="character" w:customStyle="1" w:styleId="CallChar">
    <w:name w:val="Call Char"/>
    <w:basedOn w:val="DefaultParagraphFont"/>
    <w:link w:val="Call"/>
    <w:locked/>
    <w:rsid w:val="00A7371F"/>
    <w:rPr>
      <w:i/>
      <w:sz w:val="24"/>
      <w:lang w:eastAsia="en-US"/>
    </w:rPr>
  </w:style>
  <w:style w:type="character" w:customStyle="1" w:styleId="DocumentMapChar">
    <w:name w:val="Document Map Char"/>
    <w:basedOn w:val="DefaultParagraphFont"/>
    <w:link w:val="DocumentMap"/>
    <w:uiPriority w:val="99"/>
    <w:rsid w:val="00A7371F"/>
    <w:rPr>
      <w:rFonts w:ascii="SimSun" w:eastAsia="SimSun"/>
      <w:sz w:val="18"/>
      <w:szCs w:val="18"/>
      <w:lang w:eastAsia="en-US"/>
    </w:rPr>
  </w:style>
  <w:style w:type="character" w:customStyle="1" w:styleId="Heading2Char">
    <w:name w:val="Heading 2 Char"/>
    <w:basedOn w:val="DefaultParagraphFont"/>
    <w:link w:val="Heading2"/>
    <w:rsid w:val="00A7371F"/>
    <w:rPr>
      <w:rFonts w:ascii="Cambria" w:eastAsia="SimSun" w:hAnsi="Cambria"/>
      <w:b/>
      <w:bCs/>
      <w:sz w:val="32"/>
      <w:szCs w:val="32"/>
      <w:lang w:eastAsia="en-US"/>
    </w:rPr>
  </w:style>
  <w:style w:type="character" w:customStyle="1" w:styleId="Heading4Char">
    <w:name w:val="Heading 4 Char"/>
    <w:basedOn w:val="DefaultParagraphFont"/>
    <w:link w:val="Heading4"/>
    <w:uiPriority w:val="9"/>
    <w:rsid w:val="00A7371F"/>
    <w:rPr>
      <w:rFonts w:ascii="Cambria" w:eastAsia="SimSun" w:hAnsi="Cambria"/>
      <w:b/>
      <w:bCs/>
      <w:sz w:val="28"/>
      <w:szCs w:val="28"/>
      <w:lang w:eastAsia="en-US"/>
    </w:rPr>
  </w:style>
  <w:style w:type="character" w:customStyle="1" w:styleId="Heading5Char">
    <w:name w:val="Heading 5 Char"/>
    <w:basedOn w:val="DefaultParagraphFont"/>
    <w:link w:val="Heading5"/>
    <w:uiPriority w:val="9"/>
    <w:rsid w:val="00A7371F"/>
    <w:rPr>
      <w:rFonts w:eastAsia="바탕체"/>
      <w:b/>
      <w:bCs/>
      <w:sz w:val="28"/>
      <w:szCs w:val="28"/>
      <w:lang w:eastAsia="en-US"/>
    </w:rPr>
  </w:style>
  <w:style w:type="character" w:customStyle="1" w:styleId="Heading6Char">
    <w:name w:val="Heading 6 Char"/>
    <w:basedOn w:val="DefaultParagraphFont"/>
    <w:link w:val="Heading6"/>
    <w:uiPriority w:val="9"/>
    <w:rsid w:val="00A7371F"/>
    <w:rPr>
      <w:rFonts w:ascii="Cambria" w:eastAsia="SimSun" w:hAnsi="Cambria"/>
      <w:b/>
      <w:bCs/>
      <w:sz w:val="24"/>
      <w:szCs w:val="24"/>
      <w:lang w:eastAsia="en-US"/>
    </w:rPr>
  </w:style>
  <w:style w:type="character" w:customStyle="1" w:styleId="Heading7Char">
    <w:name w:val="Heading 7 Char"/>
    <w:basedOn w:val="DefaultParagraphFont"/>
    <w:link w:val="Heading7"/>
    <w:uiPriority w:val="9"/>
    <w:rsid w:val="00A7371F"/>
    <w:rPr>
      <w:rFonts w:eastAsia="바탕체"/>
      <w:b/>
      <w:bCs/>
      <w:sz w:val="24"/>
      <w:szCs w:val="24"/>
      <w:lang w:eastAsia="en-US"/>
    </w:rPr>
  </w:style>
  <w:style w:type="character" w:customStyle="1" w:styleId="Heading9Char">
    <w:name w:val="Heading 9 Char"/>
    <w:basedOn w:val="DefaultParagraphFont"/>
    <w:link w:val="Heading9"/>
    <w:uiPriority w:val="9"/>
    <w:rsid w:val="00A7371F"/>
    <w:rPr>
      <w:rFonts w:ascii="Cambria" w:eastAsia="SimSun" w:hAnsi="Cambria"/>
      <w:sz w:val="21"/>
      <w:szCs w:val="21"/>
      <w:lang w:eastAsia="en-US"/>
    </w:rPr>
  </w:style>
  <w:style w:type="character" w:customStyle="1" w:styleId="CommentTextChar">
    <w:name w:val="Comment Text Char"/>
    <w:basedOn w:val="DefaultParagraphFont"/>
    <w:link w:val="CommentText"/>
    <w:uiPriority w:val="99"/>
    <w:rsid w:val="00A7371F"/>
    <w:rPr>
      <w:rFonts w:eastAsia="바탕체"/>
      <w:sz w:val="24"/>
      <w:szCs w:val="24"/>
      <w:lang w:eastAsia="en-US"/>
    </w:rPr>
  </w:style>
  <w:style w:type="character" w:customStyle="1" w:styleId="CommentSubjectChar">
    <w:name w:val="Comment Subject Char"/>
    <w:basedOn w:val="CommentTextChar"/>
    <w:link w:val="CommentSubject"/>
    <w:uiPriority w:val="99"/>
    <w:rsid w:val="00A7371F"/>
    <w:rPr>
      <w:rFonts w:eastAsia="바탕체"/>
      <w:b/>
      <w:bCs/>
      <w:sz w:val="24"/>
      <w:szCs w:val="24"/>
      <w:lang w:eastAsia="en-US"/>
    </w:rPr>
  </w:style>
  <w:style w:type="character" w:customStyle="1" w:styleId="TabletextChar">
    <w:name w:val="Table_text Char"/>
    <w:link w:val="Tabletext"/>
    <w:qFormat/>
    <w:rsid w:val="00A7371F"/>
    <w:rPr>
      <w:rFonts w:eastAsia="Times New Roman"/>
      <w:sz w:val="22"/>
      <w:lang w:eastAsia="en-US"/>
    </w:rPr>
  </w:style>
  <w:style w:type="paragraph" w:styleId="ListParagraph">
    <w:name w:val="List Paragraph"/>
    <w:basedOn w:val="Normal"/>
    <w:link w:val="ListParagraphChar"/>
    <w:uiPriority w:val="34"/>
    <w:qFormat/>
    <w:rsid w:val="00195290"/>
    <w:pPr>
      <w:tabs>
        <w:tab w:val="left" w:pos="1134"/>
        <w:tab w:val="left" w:pos="1871"/>
        <w:tab w:val="left" w:pos="2268"/>
      </w:tabs>
      <w:overflowPunct w:val="0"/>
      <w:autoSpaceDE w:val="0"/>
      <w:autoSpaceDN w:val="0"/>
      <w:adjustRightInd w:val="0"/>
      <w:spacing w:before="120"/>
      <w:ind w:leftChars="400" w:left="840"/>
      <w:textAlignment w:val="baseline"/>
    </w:pPr>
    <w:rPr>
      <w:rFonts w:eastAsiaTheme="minorEastAsia"/>
      <w:szCs w:val="20"/>
      <w:lang w:val="en-GB"/>
    </w:rPr>
  </w:style>
  <w:style w:type="paragraph" w:customStyle="1" w:styleId="Tablelegend">
    <w:name w:val="Table_legend"/>
    <w:basedOn w:val="Normal"/>
    <w:rsid w:val="00435B05"/>
    <w:pPr>
      <w:tabs>
        <w:tab w:val="left" w:pos="1134"/>
        <w:tab w:val="left" w:pos="1871"/>
        <w:tab w:val="left" w:pos="2268"/>
      </w:tabs>
      <w:overflowPunct w:val="0"/>
      <w:autoSpaceDE w:val="0"/>
      <w:autoSpaceDN w:val="0"/>
      <w:adjustRightInd w:val="0"/>
      <w:spacing w:before="120"/>
      <w:jc w:val="both"/>
      <w:textAlignment w:val="baseline"/>
    </w:pPr>
    <w:rPr>
      <w:rFonts w:eastAsia="MS Mincho"/>
      <w:sz w:val="20"/>
      <w:szCs w:val="20"/>
      <w:lang w:val="en-GB"/>
    </w:rPr>
  </w:style>
  <w:style w:type="character" w:customStyle="1" w:styleId="st1">
    <w:name w:val="st1"/>
    <w:basedOn w:val="DefaultParagraphFont"/>
    <w:rsid w:val="00D275FD"/>
  </w:style>
  <w:style w:type="table" w:styleId="TableGrid">
    <w:name w:val="Table Grid"/>
    <w:basedOn w:val="TableNormal"/>
    <w:uiPriority w:val="39"/>
    <w:rsid w:val="003E2DC8"/>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000"/>
    <w:rPr>
      <w:rFonts w:eastAsia="바탕체"/>
      <w:sz w:val="24"/>
      <w:szCs w:val="24"/>
      <w:lang w:eastAsia="en-US"/>
    </w:rPr>
  </w:style>
  <w:style w:type="character" w:styleId="Strong">
    <w:name w:val="Strong"/>
    <w:basedOn w:val="DefaultParagraphFont"/>
    <w:uiPriority w:val="22"/>
    <w:qFormat/>
    <w:rsid w:val="00326029"/>
    <w:rPr>
      <w:b/>
      <w:bCs/>
    </w:rPr>
  </w:style>
  <w:style w:type="character" w:customStyle="1" w:styleId="BalloonTextChar">
    <w:name w:val="Balloon Text Char"/>
    <w:basedOn w:val="DefaultParagraphFont"/>
    <w:link w:val="BalloonText"/>
    <w:rsid w:val="00293E96"/>
    <w:rPr>
      <w:rFonts w:ascii="Tahoma" w:eastAsia="바탕체" w:hAnsi="Tahoma" w:cs="Tahoma"/>
      <w:sz w:val="16"/>
      <w:szCs w:val="16"/>
      <w:lang w:eastAsia="en-US"/>
    </w:rPr>
  </w:style>
  <w:style w:type="character" w:customStyle="1" w:styleId="Heading3Char">
    <w:name w:val="Heading 3 Char"/>
    <w:basedOn w:val="DefaultParagraphFont"/>
    <w:link w:val="Heading3"/>
    <w:rsid w:val="00293E96"/>
    <w:rPr>
      <w:rFonts w:ascii="Arial" w:eastAsia="바탕체" w:hAnsi="Arial" w:cs="Arial"/>
      <w:b/>
      <w:bCs/>
      <w:sz w:val="26"/>
      <w:szCs w:val="26"/>
      <w:lang w:eastAsia="en-US"/>
    </w:rPr>
  </w:style>
  <w:style w:type="character" w:customStyle="1" w:styleId="BodyTextIndentChar">
    <w:name w:val="Body Text Indent Char"/>
    <w:basedOn w:val="DefaultParagraphFont"/>
    <w:link w:val="BodyTextIndent"/>
    <w:rsid w:val="00293E96"/>
    <w:rPr>
      <w:rFonts w:eastAsia="바탕체"/>
      <w:sz w:val="24"/>
      <w:szCs w:val="24"/>
      <w:lang w:eastAsia="en-US"/>
    </w:rPr>
  </w:style>
  <w:style w:type="paragraph" w:customStyle="1" w:styleId="TableNo">
    <w:name w:val="Table_No"/>
    <w:basedOn w:val="Normal"/>
    <w:next w:val="Normal"/>
    <w:link w:val="TableNoChar"/>
    <w:rsid w:val="001E3A9E"/>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link w:val="TabletitleChar"/>
    <w:rsid w:val="001E3A9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TableheadChar">
    <w:name w:val="Table_head Char"/>
    <w:link w:val="Tablehead"/>
    <w:locked/>
    <w:rsid w:val="001E3A9E"/>
    <w:rPr>
      <w:rFonts w:eastAsia="SimSun"/>
      <w:b/>
      <w:sz w:val="22"/>
      <w:lang w:eastAsia="en-US"/>
    </w:rPr>
  </w:style>
  <w:style w:type="character" w:customStyle="1" w:styleId="TableNoChar">
    <w:name w:val="Table_No Char"/>
    <w:link w:val="TableNo"/>
    <w:locked/>
    <w:rsid w:val="001E3A9E"/>
    <w:rPr>
      <w:rFonts w:eastAsia="Times New Roman"/>
      <w:caps/>
      <w:lang w:val="en-GB" w:eastAsia="en-US"/>
    </w:rPr>
  </w:style>
  <w:style w:type="character" w:customStyle="1" w:styleId="TabletitleChar">
    <w:name w:val="Table_title Char"/>
    <w:link w:val="Tabletitle"/>
    <w:locked/>
    <w:rsid w:val="001E3A9E"/>
    <w:rPr>
      <w:rFonts w:ascii="Times New Roman Bold" w:eastAsia="Times New Roman" w:hAnsi="Times New Roman Bold"/>
      <w:b/>
      <w:lang w:val="en-GB" w:eastAsia="en-US"/>
    </w:rPr>
  </w:style>
  <w:style w:type="paragraph" w:customStyle="1" w:styleId="Tablefin">
    <w:name w:val="Table_fin"/>
    <w:basedOn w:val="Normal"/>
    <w:next w:val="Normal"/>
    <w:rsid w:val="001E3A9E"/>
    <w:pPr>
      <w:suppressAutoHyphens/>
      <w:autoSpaceDN w:val="0"/>
      <w:jc w:val="both"/>
    </w:pPr>
    <w:rPr>
      <w:rFonts w:eastAsia="바탕"/>
      <w:sz w:val="20"/>
      <w:szCs w:val="20"/>
      <w:lang w:val="en-GB"/>
    </w:rPr>
  </w:style>
  <w:style w:type="paragraph" w:customStyle="1" w:styleId="Tablefin0">
    <w:name w:val="Table fin"/>
    <w:basedOn w:val="Normal"/>
    <w:rsid w:val="001E3A9E"/>
    <w:pPr>
      <w:tabs>
        <w:tab w:val="left" w:pos="1134"/>
        <w:tab w:val="left" w:pos="1871"/>
        <w:tab w:val="left" w:pos="2268"/>
      </w:tabs>
      <w:overflowPunct w:val="0"/>
      <w:autoSpaceDE w:val="0"/>
      <w:autoSpaceDN w:val="0"/>
      <w:adjustRightInd w:val="0"/>
      <w:textAlignment w:val="baseline"/>
    </w:pPr>
    <w:rPr>
      <w:rFonts w:eastAsia="Times New Roman"/>
      <w:sz w:val="18"/>
      <w:szCs w:val="20"/>
      <w:lang w:val="en-GB"/>
    </w:rPr>
  </w:style>
  <w:style w:type="character" w:customStyle="1" w:styleId="Artdef">
    <w:name w:val="Art_def"/>
    <w:basedOn w:val="DefaultParagraphFont"/>
    <w:rsid w:val="0096367D"/>
    <w:rPr>
      <w:rFonts w:ascii="Times New Roman" w:hAnsi="Times New Roman"/>
      <w:b/>
    </w:rPr>
  </w:style>
  <w:style w:type="paragraph" w:customStyle="1" w:styleId="Normalaftertitle0">
    <w:name w:val="Normal after title"/>
    <w:basedOn w:val="Normal"/>
    <w:next w:val="Normal"/>
    <w:link w:val="NormalaftertitleChar0"/>
    <w:qFormat/>
    <w:rsid w:val="0096367D"/>
    <w:pPr>
      <w:tabs>
        <w:tab w:val="left" w:pos="1134"/>
        <w:tab w:val="left" w:pos="1871"/>
        <w:tab w:val="left" w:pos="2268"/>
      </w:tabs>
      <w:overflowPunct w:val="0"/>
      <w:autoSpaceDE w:val="0"/>
      <w:autoSpaceDN w:val="0"/>
      <w:adjustRightInd w:val="0"/>
      <w:spacing w:before="280"/>
      <w:jc w:val="both"/>
      <w:textAlignment w:val="baseline"/>
    </w:pPr>
    <w:rPr>
      <w:rFonts w:eastAsia="Times New Roman"/>
      <w:szCs w:val="20"/>
      <w:lang w:val="en-GB"/>
    </w:rPr>
  </w:style>
  <w:style w:type="character" w:customStyle="1" w:styleId="NormalaftertitleChar0">
    <w:name w:val="Normal after title Char"/>
    <w:basedOn w:val="DefaultParagraphFont"/>
    <w:link w:val="Normalaftertitle0"/>
    <w:rsid w:val="0096367D"/>
    <w:rPr>
      <w:rFonts w:eastAsia="Times New Roman"/>
      <w:sz w:val="24"/>
      <w:lang w:val="en-GB" w:eastAsia="en-US"/>
    </w:rPr>
  </w:style>
  <w:style w:type="paragraph" w:customStyle="1" w:styleId="Reasons">
    <w:name w:val="Reasons"/>
    <w:basedOn w:val="Normal"/>
    <w:link w:val="ReasonsChar"/>
    <w:qFormat/>
    <w:rsid w:val="0096367D"/>
    <w:pPr>
      <w:tabs>
        <w:tab w:val="left" w:pos="1134"/>
        <w:tab w:val="left" w:pos="1588"/>
        <w:tab w:val="left" w:pos="1985"/>
      </w:tabs>
      <w:overflowPunct w:val="0"/>
      <w:autoSpaceDE w:val="0"/>
      <w:autoSpaceDN w:val="0"/>
      <w:adjustRightInd w:val="0"/>
      <w:spacing w:before="120"/>
      <w:jc w:val="both"/>
      <w:textAlignment w:val="baseline"/>
    </w:pPr>
    <w:rPr>
      <w:rFonts w:eastAsia="Times New Roman"/>
      <w:szCs w:val="20"/>
      <w:lang w:val="en-GB"/>
    </w:rPr>
  </w:style>
  <w:style w:type="character" w:customStyle="1" w:styleId="ReasonsChar">
    <w:name w:val="Reasons Char"/>
    <w:basedOn w:val="DefaultParagraphFont"/>
    <w:link w:val="Reasons"/>
    <w:rsid w:val="0096367D"/>
    <w:rPr>
      <w:rFonts w:eastAsia="Times New Roman"/>
      <w:sz w:val="24"/>
      <w:lang w:val="en-GB" w:eastAsia="en-US"/>
    </w:rPr>
  </w:style>
  <w:style w:type="paragraph" w:customStyle="1" w:styleId="ResNo">
    <w:name w:val="Res_No"/>
    <w:basedOn w:val="Normal"/>
    <w:next w:val="Normal"/>
    <w:rsid w:val="0096367D"/>
    <w:pPr>
      <w:keepNext/>
      <w:keepLines/>
      <w:tabs>
        <w:tab w:val="left" w:pos="1134"/>
        <w:tab w:val="left" w:pos="1871"/>
        <w:tab w:val="left" w:pos="2268"/>
      </w:tabs>
      <w:overflowPunct w:val="0"/>
      <w:autoSpaceDE w:val="0"/>
      <w:autoSpaceDN w:val="0"/>
      <w:adjustRightInd w:val="0"/>
      <w:jc w:val="center"/>
      <w:textAlignment w:val="baseline"/>
      <w:outlineLvl w:val="0"/>
    </w:pPr>
    <w:rPr>
      <w:rFonts w:eastAsia="Times New Roman"/>
      <w:caps/>
      <w:sz w:val="28"/>
      <w:szCs w:val="20"/>
      <w:lang w:val="en-GB"/>
    </w:rPr>
  </w:style>
  <w:style w:type="paragraph" w:customStyle="1" w:styleId="Restitle">
    <w:name w:val="Res_title"/>
    <w:basedOn w:val="Normal"/>
    <w:next w:val="Normal"/>
    <w:rsid w:val="0096367D"/>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eastAsia="Times New Roman" w:hAnsi="Times New Roman Bold"/>
      <w:b/>
      <w:sz w:val="28"/>
      <w:szCs w:val="20"/>
      <w:lang w:val="en-GB"/>
    </w:rPr>
  </w:style>
  <w:style w:type="character" w:customStyle="1" w:styleId="href">
    <w:name w:val="href"/>
    <w:basedOn w:val="DefaultParagraphFont"/>
    <w:rsid w:val="0096367D"/>
  </w:style>
  <w:style w:type="paragraph" w:customStyle="1" w:styleId="AnnexNo">
    <w:name w:val="Annex_No"/>
    <w:basedOn w:val="Normal"/>
    <w:next w:val="Normal"/>
    <w:rsid w:val="0096367D"/>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96367D"/>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customStyle="1" w:styleId="THChar">
    <w:name w:val="TH Char"/>
    <w:link w:val="TH"/>
    <w:qFormat/>
    <w:locked/>
    <w:rsid w:val="0096367D"/>
    <w:rPr>
      <w:rFonts w:ascii="Arial" w:hAnsi="Arial" w:cs="Arial"/>
      <w:b/>
      <w:lang w:val="en-GB"/>
    </w:rPr>
  </w:style>
  <w:style w:type="paragraph" w:customStyle="1" w:styleId="TH">
    <w:name w:val="TH"/>
    <w:basedOn w:val="Normal"/>
    <w:link w:val="THChar"/>
    <w:qFormat/>
    <w:rsid w:val="0096367D"/>
    <w:pPr>
      <w:keepNext/>
      <w:keepLines/>
      <w:spacing w:before="60" w:after="180"/>
      <w:jc w:val="center"/>
    </w:pPr>
    <w:rPr>
      <w:rFonts w:ascii="Arial" w:eastAsia="바탕" w:hAnsi="Arial" w:cs="Arial"/>
      <w:b/>
      <w:sz w:val="20"/>
      <w:szCs w:val="20"/>
      <w:lang w:val="en-GB" w:eastAsia="zh-CN"/>
    </w:rPr>
  </w:style>
  <w:style w:type="paragraph" w:customStyle="1" w:styleId="TF">
    <w:name w:val="TF"/>
    <w:basedOn w:val="TH"/>
    <w:rsid w:val="0096367D"/>
    <w:pPr>
      <w:keepNext w:val="0"/>
      <w:spacing w:before="0" w:after="240"/>
    </w:pPr>
  </w:style>
  <w:style w:type="character" w:customStyle="1" w:styleId="ListParagraphChar">
    <w:name w:val="List Paragraph Char"/>
    <w:basedOn w:val="DefaultParagraphFont"/>
    <w:link w:val="ListParagraph"/>
    <w:uiPriority w:val="34"/>
    <w:locked/>
    <w:rsid w:val="00F37272"/>
    <w:rPr>
      <w:rFonts w:eastAsiaTheme="minorEastAsi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68431">
      <w:bodyDiv w:val="1"/>
      <w:marLeft w:val="0"/>
      <w:marRight w:val="0"/>
      <w:marTop w:val="0"/>
      <w:marBottom w:val="0"/>
      <w:divBdr>
        <w:top w:val="none" w:sz="0" w:space="0" w:color="auto"/>
        <w:left w:val="none" w:sz="0" w:space="0" w:color="auto"/>
        <w:bottom w:val="none" w:sz="0" w:space="0" w:color="auto"/>
        <w:right w:val="none" w:sz="0" w:space="0" w:color="auto"/>
      </w:divBdr>
    </w:div>
    <w:div w:id="1904415093">
      <w:bodyDiv w:val="1"/>
      <w:marLeft w:val="0"/>
      <w:marRight w:val="0"/>
      <w:marTop w:val="0"/>
      <w:marBottom w:val="0"/>
      <w:divBdr>
        <w:top w:val="none" w:sz="0" w:space="0" w:color="auto"/>
        <w:left w:val="none" w:sz="0" w:space="0" w:color="auto"/>
        <w:bottom w:val="none" w:sz="0" w:space="0" w:color="auto"/>
        <w:right w:val="none" w:sz="0" w:space="0" w:color="auto"/>
      </w:divBdr>
    </w:div>
    <w:div w:id="1958828513">
      <w:bodyDiv w:val="1"/>
      <w:marLeft w:val="0"/>
      <w:marRight w:val="0"/>
      <w:marTop w:val="0"/>
      <w:marBottom w:val="0"/>
      <w:divBdr>
        <w:top w:val="none" w:sz="0" w:space="0" w:color="auto"/>
        <w:left w:val="none" w:sz="0" w:space="0" w:color="auto"/>
        <w:bottom w:val="none" w:sz="0" w:space="0" w:color="auto"/>
        <w:right w:val="none" w:sz="0" w:space="0" w:color="auto"/>
      </w:divBdr>
    </w:div>
    <w:div w:id="197737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package" Target="embeddings/Microsoft_Visio_Drawing1.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D81C-5E99-4D33-BABA-20A8789F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7354</Words>
  <Characters>41921</Characters>
  <Application>Microsoft Office Word</Application>
  <DocSecurity>0</DocSecurity>
  <Lines>349</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rlaekdud2014@gmail.com</cp:lastModifiedBy>
  <cp:revision>34</cp:revision>
  <cp:lastPrinted>2022-11-30T02:18:00Z</cp:lastPrinted>
  <dcterms:created xsi:type="dcterms:W3CDTF">2022-09-09T04:05:00Z</dcterms:created>
  <dcterms:modified xsi:type="dcterms:W3CDTF">2022-11-30T02:18:00Z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_2015_ms_pID_725343">
    <vt:lpwstr>(3)M5+oS1uVo3LPHRV4YxHaOsxVdbCwQBnMGPHnreA3EnI7l39aFW8DpcgKpVFshOHTif/ErE2M
bRrUEE71YIBWOiWqT5JbqidjmUQ8zHUOfN2hUXS8PWeuJow8SdIUc5hr7AItRdZ7hmNaqZoG
V21aE9LEdlYK2Mnk8MIuO8DVwHuUWVbwgrD6d9hcI79D7+kt+qgiCqoX/Z8o7WXviRsT97Hb
mjlN3NIR+W4Fm2rtVV</vt:lpwstr>
  </property>
  <property fmtid="{D5CDD505-2E9C-101B-9397-08002B2CF9AE}" pid="4" name="_2015_ms_pID_7253431">
    <vt:lpwstr>vIj0G55hyIiMvOJCLdmAhFW6/9DeF2tx+OaVH3Y4G+cw5OWbS47pBZ
2+NvGaeQ97N2LHpJdAI4F1wtS25DcAP730i/os//L2MvLmkgZpGYYF4nCDZpyFwwEWpfi5Ke
5jzt1H0CDgRrIsUux94hctd/qDK1IK1XsR5xtZLk3OVfkzQ3i0XIs4XnbsaBZ8v44qjpGLx7
xK5no3w869Kyvqkv1BRxRH40XlOE2PNJ83XH</vt:lpwstr>
  </property>
  <property fmtid="{D5CDD505-2E9C-101B-9397-08002B2CF9AE}" pid="5" name="_2015_ms_pID_7253432">
    <vt:lpwstr>SA==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1662283017</vt:lpwstr>
  </property>
</Properties>
</file>