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84525" w14:textId="098065A5" w:rsidR="0019002D" w:rsidRDefault="0019002D" w:rsidP="0019002D">
      <w:pPr>
        <w:rPr>
          <w:b/>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18276C08" wp14:editId="233FC381">
                <wp:simplePos x="0" y="0"/>
                <wp:positionH relativeFrom="column">
                  <wp:posOffset>-928688</wp:posOffset>
                </wp:positionH>
                <wp:positionV relativeFrom="paragraph">
                  <wp:posOffset>-714375</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1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8730F" id="직사각형 72" o:spid="_x0000_s1026" style="position:absolute;margin-left:-73.15pt;margin-top:-56.25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" stroked="f" strokeweight="1pt">
                <v:fill r:id="rId12" o:title="" recolor="t" rotate="t" type="frame"/>
              </v:rect>
            </w:pict>
          </mc:Fallback>
        </mc:AlternateContent>
      </w:r>
    </w:p>
    <w:p w14:paraId="43054349" w14:textId="77777777" w:rsidR="0019002D" w:rsidRPr="00D42AA0" w:rsidRDefault="0019002D" w:rsidP="0019002D">
      <w:pPr>
        <w:tabs>
          <w:tab w:val="left" w:pos="1440"/>
        </w:tabs>
        <w:spacing w:line="276" w:lineRule="auto"/>
        <w:ind w:left="1440" w:hanging="1440"/>
        <w:contextualSpacing/>
        <w:rPr>
          <w:color w:val="000000"/>
          <w:sz w:val="28"/>
          <w:szCs w:val="28"/>
        </w:rPr>
      </w:pPr>
    </w:p>
    <w:p w14:paraId="3BF315D2" w14:textId="77777777" w:rsidR="0019002D" w:rsidRPr="00D42AA0" w:rsidRDefault="0019002D" w:rsidP="0019002D">
      <w:pPr>
        <w:contextualSpacing/>
        <w:rPr>
          <w:sz w:val="28"/>
          <w:szCs w:val="28"/>
        </w:rPr>
      </w:pPr>
    </w:p>
    <w:p w14:paraId="7798EC02" w14:textId="77777777" w:rsidR="0019002D" w:rsidRPr="00D42AA0" w:rsidRDefault="0019002D" w:rsidP="0019002D">
      <w:pPr>
        <w:contextualSpacing/>
        <w:rPr>
          <w:sz w:val="28"/>
          <w:szCs w:val="28"/>
        </w:rPr>
      </w:pPr>
    </w:p>
    <w:p w14:paraId="40A2F6F2" w14:textId="77777777" w:rsidR="0019002D" w:rsidRPr="00D42AA0" w:rsidRDefault="0019002D" w:rsidP="0019002D">
      <w:pPr>
        <w:contextualSpacing/>
        <w:rPr>
          <w:sz w:val="28"/>
          <w:szCs w:val="28"/>
        </w:rPr>
      </w:pPr>
    </w:p>
    <w:p w14:paraId="46E8833F" w14:textId="77777777" w:rsidR="0019002D" w:rsidRPr="00D42AA0" w:rsidRDefault="0019002D" w:rsidP="0019002D">
      <w:pPr>
        <w:contextualSpacing/>
        <w:rPr>
          <w:sz w:val="28"/>
          <w:szCs w:val="28"/>
        </w:rPr>
      </w:pPr>
    </w:p>
    <w:p w14:paraId="60FFDFDA" w14:textId="77777777" w:rsidR="0019002D" w:rsidRPr="00D42AA0" w:rsidRDefault="0019002D" w:rsidP="0019002D">
      <w:pPr>
        <w:ind w:firstLineChars="100" w:firstLine="280"/>
        <w:contextualSpacing/>
        <w:rPr>
          <w:sz w:val="28"/>
          <w:szCs w:val="28"/>
        </w:rPr>
      </w:pPr>
    </w:p>
    <w:p w14:paraId="533B9179" w14:textId="77777777" w:rsidR="0019002D" w:rsidRPr="00D42AA0" w:rsidRDefault="0019002D" w:rsidP="0019002D">
      <w:pPr>
        <w:contextualSpacing/>
        <w:rPr>
          <w:sz w:val="28"/>
          <w:szCs w:val="28"/>
        </w:rPr>
      </w:pPr>
    </w:p>
    <w:p w14:paraId="2F48C2A6" w14:textId="77777777" w:rsidR="0019002D" w:rsidRPr="00D42AA0" w:rsidRDefault="0019002D" w:rsidP="0019002D">
      <w:pPr>
        <w:contextualSpacing/>
        <w:rPr>
          <w:sz w:val="28"/>
          <w:szCs w:val="28"/>
        </w:rPr>
      </w:pPr>
    </w:p>
    <w:p w14:paraId="15601F2B" w14:textId="77777777" w:rsidR="0019002D" w:rsidRDefault="0019002D" w:rsidP="0019002D">
      <w:pPr>
        <w:contextualSpacing/>
      </w:pPr>
      <w:r w:rsidRPr="003F118A">
        <w:rPr>
          <w:b/>
          <w:bCs/>
          <w:noProof/>
        </w:rPr>
        <w:drawing>
          <wp:inline distT="0" distB="0" distL="0" distR="0" wp14:anchorId="180E3497" wp14:editId="74043974">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23986554" w14:textId="77777777" w:rsidR="0019002D" w:rsidRPr="00D42AA0" w:rsidRDefault="0019002D" w:rsidP="0019002D">
      <w:pPr>
        <w:spacing w:line="276" w:lineRule="auto"/>
        <w:contextualSpacing/>
        <w:rPr>
          <w:sz w:val="28"/>
          <w:szCs w:val="28"/>
        </w:rPr>
      </w:pPr>
    </w:p>
    <w:p w14:paraId="2873FD8A" w14:textId="77777777" w:rsidR="0019002D" w:rsidRPr="00D42AA0" w:rsidRDefault="0019002D" w:rsidP="0019002D">
      <w:pPr>
        <w:spacing w:line="276" w:lineRule="auto"/>
        <w:contextualSpacing/>
        <w:rPr>
          <w:sz w:val="28"/>
          <w:szCs w:val="28"/>
        </w:rPr>
      </w:pPr>
    </w:p>
    <w:p w14:paraId="04D26F8D" w14:textId="77777777" w:rsidR="0019002D" w:rsidRPr="00DB137F" w:rsidRDefault="0019002D" w:rsidP="0019002D">
      <w:pPr>
        <w:spacing w:line="276" w:lineRule="auto"/>
        <w:contextualSpacing/>
        <w:rPr>
          <w:b/>
          <w:bCs/>
          <w:sz w:val="44"/>
          <w:szCs w:val="44"/>
        </w:rPr>
      </w:pPr>
      <w:r w:rsidRPr="00DB137F">
        <w:rPr>
          <w:b/>
          <w:bCs/>
          <w:sz w:val="44"/>
          <w:szCs w:val="44"/>
        </w:rPr>
        <w:t>APT REPORT ON</w:t>
      </w:r>
    </w:p>
    <w:p w14:paraId="4B9B1193" w14:textId="77777777" w:rsidR="0019002D" w:rsidRPr="00DB137F" w:rsidRDefault="0019002D" w:rsidP="0019002D">
      <w:pPr>
        <w:spacing w:line="276" w:lineRule="auto"/>
        <w:contextualSpacing/>
        <w:rPr>
          <w:sz w:val="28"/>
          <w:szCs w:val="28"/>
        </w:rPr>
      </w:pPr>
    </w:p>
    <w:p w14:paraId="0F724765" w14:textId="72292044" w:rsidR="0019002D" w:rsidRPr="0019002D" w:rsidRDefault="0019002D" w:rsidP="0019002D">
      <w:pPr>
        <w:spacing w:line="276" w:lineRule="auto"/>
        <w:contextualSpacing/>
        <w:rPr>
          <w:b/>
          <w:bCs/>
          <w:spacing w:val="-6"/>
          <w:w w:val="98"/>
          <w:sz w:val="30"/>
          <w:szCs w:val="30"/>
          <w:lang w:eastAsia="ko-KR"/>
        </w:rPr>
      </w:pPr>
      <w:r w:rsidRPr="0019002D">
        <w:rPr>
          <w:b/>
          <w:bCs/>
          <w:spacing w:val="-6"/>
          <w:w w:val="98"/>
          <w:sz w:val="30"/>
          <w:szCs w:val="30"/>
          <w:lang w:eastAsia="ko-KR"/>
        </w:rPr>
        <w:t xml:space="preserve">OPERATIONAL INFORMATION OF A NON-GSO FSS EARTH </w:t>
      </w:r>
    </w:p>
    <w:p w14:paraId="2E29B879" w14:textId="77777777" w:rsidR="0019002D" w:rsidRPr="0019002D" w:rsidRDefault="0019002D" w:rsidP="0019002D">
      <w:pPr>
        <w:spacing w:line="276" w:lineRule="auto"/>
        <w:contextualSpacing/>
        <w:rPr>
          <w:b/>
          <w:bCs/>
          <w:spacing w:val="-6"/>
          <w:w w:val="98"/>
          <w:sz w:val="30"/>
          <w:szCs w:val="30"/>
          <w:lang w:eastAsia="ko-KR"/>
        </w:rPr>
      </w:pPr>
      <w:r w:rsidRPr="0019002D">
        <w:rPr>
          <w:b/>
          <w:bCs/>
          <w:spacing w:val="-6"/>
          <w:w w:val="98"/>
          <w:sz w:val="30"/>
          <w:szCs w:val="30"/>
          <w:lang w:eastAsia="ko-KR"/>
        </w:rPr>
        <w:t xml:space="preserve">STATION TERMINAL ON VESSELS AND AIRCRAFT OPERATED UNDER FSS OPERATING IN THE FREQUENCY BANDS 10.7-12.75 </w:t>
      </w:r>
    </w:p>
    <w:p w14:paraId="16FE2420" w14:textId="1196B813" w:rsidR="0019002D" w:rsidRPr="00422CF6" w:rsidRDefault="0019002D" w:rsidP="0019002D">
      <w:pPr>
        <w:spacing w:line="276" w:lineRule="auto"/>
        <w:contextualSpacing/>
        <w:rPr>
          <w:b/>
          <w:bCs/>
          <w:spacing w:val="-6"/>
          <w:w w:val="98"/>
          <w:sz w:val="30"/>
          <w:szCs w:val="30"/>
        </w:rPr>
      </w:pPr>
      <w:r w:rsidRPr="0019002D">
        <w:rPr>
          <w:b/>
          <w:bCs/>
          <w:spacing w:val="-6"/>
          <w:w w:val="98"/>
          <w:sz w:val="30"/>
          <w:szCs w:val="30"/>
          <w:lang w:eastAsia="ko-KR"/>
        </w:rPr>
        <w:t>GHZ (SPACE-TO-EARTH) AND 14-14.5 GHZ (EARTH-TO-SPACE)</w:t>
      </w:r>
      <w:r w:rsidRPr="00422CF6">
        <w:rPr>
          <w:b/>
          <w:bCs/>
          <w:spacing w:val="-6"/>
          <w:w w:val="98"/>
          <w:sz w:val="30"/>
          <w:szCs w:val="30"/>
          <w:lang w:eastAsia="ko-KR"/>
        </w:rPr>
        <w:t xml:space="preserve"> </w:t>
      </w:r>
    </w:p>
    <w:p w14:paraId="2EBC8C6F" w14:textId="77777777" w:rsidR="0019002D" w:rsidRPr="00DB137F" w:rsidRDefault="0019002D" w:rsidP="0019002D">
      <w:pPr>
        <w:spacing w:line="276" w:lineRule="auto"/>
        <w:contextualSpacing/>
        <w:rPr>
          <w:sz w:val="28"/>
          <w:szCs w:val="28"/>
        </w:rPr>
      </w:pPr>
    </w:p>
    <w:p w14:paraId="126449A1" w14:textId="77777777" w:rsidR="0019002D" w:rsidRPr="00DB137F" w:rsidRDefault="0019002D" w:rsidP="0019002D">
      <w:pPr>
        <w:spacing w:line="276" w:lineRule="auto"/>
        <w:contextualSpacing/>
        <w:rPr>
          <w:sz w:val="28"/>
          <w:szCs w:val="28"/>
        </w:rPr>
      </w:pPr>
    </w:p>
    <w:p w14:paraId="2C696E05" w14:textId="77777777" w:rsidR="0019002D" w:rsidRPr="00DB137F" w:rsidRDefault="0019002D" w:rsidP="0019002D">
      <w:pPr>
        <w:spacing w:line="276" w:lineRule="auto"/>
        <w:contextualSpacing/>
        <w:rPr>
          <w:sz w:val="28"/>
          <w:szCs w:val="28"/>
        </w:rPr>
      </w:pPr>
    </w:p>
    <w:p w14:paraId="63AE890F" w14:textId="58F91CC2" w:rsidR="0019002D" w:rsidRPr="00BE4E3C" w:rsidRDefault="0019002D" w:rsidP="0019002D">
      <w:pPr>
        <w:spacing w:line="276" w:lineRule="auto"/>
        <w:contextualSpacing/>
        <w:rPr>
          <w:b/>
          <w:sz w:val="28"/>
          <w:szCs w:val="28"/>
        </w:rPr>
      </w:pPr>
      <w:r w:rsidRPr="00BE4E3C">
        <w:rPr>
          <w:b/>
          <w:sz w:val="28"/>
          <w:szCs w:val="28"/>
        </w:rPr>
        <w:t xml:space="preserve">Edition: </w:t>
      </w:r>
      <w:r>
        <w:rPr>
          <w:b/>
          <w:sz w:val="28"/>
          <w:szCs w:val="28"/>
        </w:rPr>
        <w:t>March 2024</w:t>
      </w:r>
    </w:p>
    <w:p w14:paraId="39CCFD16" w14:textId="77777777" w:rsidR="0019002D" w:rsidRPr="00BE4E3C" w:rsidRDefault="0019002D" w:rsidP="0019002D">
      <w:pPr>
        <w:spacing w:line="276" w:lineRule="auto"/>
        <w:contextualSpacing/>
        <w:rPr>
          <w:bCs/>
          <w:sz w:val="28"/>
          <w:szCs w:val="28"/>
        </w:rPr>
      </w:pPr>
    </w:p>
    <w:p w14:paraId="0815F968" w14:textId="77777777" w:rsidR="0019002D" w:rsidRDefault="0019002D" w:rsidP="0019002D">
      <w:pPr>
        <w:spacing w:line="276" w:lineRule="auto"/>
        <w:contextualSpacing/>
        <w:rPr>
          <w:bCs/>
          <w:sz w:val="28"/>
          <w:szCs w:val="28"/>
        </w:rPr>
      </w:pPr>
    </w:p>
    <w:p w14:paraId="4E0DB80A" w14:textId="77777777" w:rsidR="0019002D" w:rsidRPr="00BE4E3C" w:rsidRDefault="0019002D" w:rsidP="0019002D">
      <w:pPr>
        <w:spacing w:line="276" w:lineRule="auto"/>
        <w:contextualSpacing/>
        <w:rPr>
          <w:bCs/>
          <w:sz w:val="28"/>
          <w:szCs w:val="28"/>
        </w:rPr>
      </w:pPr>
    </w:p>
    <w:p w14:paraId="7F5A2661" w14:textId="6C8B2207" w:rsidR="0019002D" w:rsidRPr="00BE4E3C" w:rsidRDefault="0019002D" w:rsidP="0019002D">
      <w:pPr>
        <w:spacing w:line="276" w:lineRule="auto"/>
        <w:contextualSpacing/>
        <w:rPr>
          <w:b/>
          <w:sz w:val="28"/>
          <w:szCs w:val="28"/>
        </w:rPr>
      </w:pPr>
      <w:r w:rsidRPr="00BE4E3C">
        <w:rPr>
          <w:b/>
          <w:iCs/>
          <w:sz w:val="28"/>
          <w:szCs w:val="28"/>
        </w:rPr>
        <w:t>The 3</w:t>
      </w:r>
      <w:r>
        <w:rPr>
          <w:b/>
          <w:iCs/>
          <w:sz w:val="28"/>
          <w:szCs w:val="28"/>
        </w:rPr>
        <w:t>2nd</w:t>
      </w:r>
      <w:r w:rsidRPr="00BE4E3C">
        <w:rPr>
          <w:b/>
          <w:iCs/>
          <w:sz w:val="28"/>
          <w:szCs w:val="28"/>
        </w:rPr>
        <w:t xml:space="preserve"> </w:t>
      </w:r>
      <w:r>
        <w:rPr>
          <w:b/>
          <w:iCs/>
          <w:sz w:val="28"/>
          <w:szCs w:val="28"/>
        </w:rPr>
        <w:t xml:space="preserve">Meeting of </w:t>
      </w:r>
      <w:r w:rsidRPr="00BE4E3C">
        <w:rPr>
          <w:b/>
          <w:sz w:val="28"/>
          <w:szCs w:val="28"/>
        </w:rPr>
        <w:t xml:space="preserve">APT </w:t>
      </w:r>
      <w:r>
        <w:rPr>
          <w:b/>
          <w:sz w:val="28"/>
          <w:szCs w:val="28"/>
        </w:rPr>
        <w:t>Wireless Group</w:t>
      </w:r>
    </w:p>
    <w:p w14:paraId="407F53C5" w14:textId="534A5182" w:rsidR="0019002D" w:rsidRDefault="0019002D" w:rsidP="0019002D">
      <w:pPr>
        <w:spacing w:line="276" w:lineRule="auto"/>
        <w:contextualSpacing/>
        <w:rPr>
          <w:b/>
          <w:sz w:val="28"/>
          <w:szCs w:val="28"/>
        </w:rPr>
      </w:pPr>
      <w:r>
        <w:rPr>
          <w:b/>
          <w:sz w:val="28"/>
          <w:szCs w:val="28"/>
        </w:rPr>
        <w:t>4</w:t>
      </w:r>
      <w:r w:rsidRPr="00BE4E3C">
        <w:rPr>
          <w:b/>
          <w:sz w:val="28"/>
          <w:szCs w:val="28"/>
        </w:rPr>
        <w:t xml:space="preserve"> – </w:t>
      </w:r>
      <w:r>
        <w:rPr>
          <w:b/>
          <w:sz w:val="28"/>
          <w:szCs w:val="28"/>
        </w:rPr>
        <w:t>8</w:t>
      </w:r>
      <w:r w:rsidRPr="00BE4E3C">
        <w:rPr>
          <w:b/>
          <w:sz w:val="28"/>
          <w:szCs w:val="28"/>
        </w:rPr>
        <w:t xml:space="preserve"> </w:t>
      </w:r>
      <w:r>
        <w:rPr>
          <w:b/>
          <w:sz w:val="28"/>
          <w:szCs w:val="28"/>
        </w:rPr>
        <w:t>March</w:t>
      </w:r>
      <w:r w:rsidRPr="00BE4E3C">
        <w:rPr>
          <w:b/>
          <w:sz w:val="28"/>
          <w:szCs w:val="28"/>
        </w:rPr>
        <w:t xml:space="preserve"> 202</w:t>
      </w:r>
      <w:r>
        <w:rPr>
          <w:b/>
          <w:sz w:val="28"/>
          <w:szCs w:val="28"/>
        </w:rPr>
        <w:t>4</w:t>
      </w:r>
    </w:p>
    <w:p w14:paraId="6FBD8235" w14:textId="06AC66F6" w:rsidR="0019002D" w:rsidRPr="00850ED5" w:rsidRDefault="0019002D" w:rsidP="0019002D">
      <w:pPr>
        <w:spacing w:line="276" w:lineRule="auto"/>
        <w:contextualSpacing/>
        <w:rPr>
          <w:b/>
          <w:sz w:val="28"/>
          <w:szCs w:val="28"/>
          <w:lang w:eastAsia="ko-KR"/>
        </w:rPr>
      </w:pPr>
      <w:r>
        <w:rPr>
          <w:b/>
          <w:sz w:val="28"/>
          <w:szCs w:val="28"/>
          <w:lang w:eastAsia="ko-KR"/>
        </w:rPr>
        <w:t>Pattaya</w:t>
      </w:r>
      <w:r>
        <w:rPr>
          <w:b/>
          <w:sz w:val="28"/>
          <w:szCs w:val="28"/>
          <w:lang w:eastAsia="ko-KR"/>
        </w:rPr>
        <w:t>, Thailand</w:t>
      </w:r>
      <w:r>
        <w:rPr>
          <w:b/>
          <w:sz w:val="28"/>
          <w:szCs w:val="28"/>
          <w:lang w:eastAsia="ko-KR"/>
        </w:rPr>
        <w:t xml:space="preserve"> (Hybrid)</w:t>
      </w:r>
    </w:p>
    <w:p w14:paraId="54391CB2" w14:textId="77777777" w:rsidR="0019002D" w:rsidRDefault="0019002D" w:rsidP="0019002D">
      <w:pPr>
        <w:spacing w:line="276" w:lineRule="auto"/>
        <w:contextualSpacing/>
        <w:rPr>
          <w:color w:val="FF0000"/>
          <w:sz w:val="28"/>
          <w:szCs w:val="28"/>
        </w:rPr>
      </w:pPr>
    </w:p>
    <w:p w14:paraId="2E0EB2CE" w14:textId="717AB017" w:rsidR="0019002D" w:rsidRPr="001918B3" w:rsidRDefault="0019002D" w:rsidP="0019002D">
      <w:pPr>
        <w:spacing w:line="276" w:lineRule="auto"/>
        <w:contextualSpacing/>
        <w:rPr>
          <w:b/>
          <w:bCs/>
          <w:i/>
          <w:iCs/>
          <w:sz w:val="28"/>
          <w:szCs w:val="28"/>
          <w:lang w:eastAsia="ko-KR"/>
        </w:rPr>
      </w:pPr>
      <w:r w:rsidRPr="001918B3">
        <w:rPr>
          <w:rFonts w:hint="eastAsia"/>
          <w:b/>
          <w:bCs/>
          <w:i/>
          <w:iCs/>
          <w:sz w:val="28"/>
          <w:szCs w:val="28"/>
          <w:lang w:eastAsia="ko-KR"/>
        </w:rPr>
        <w:t>(S</w:t>
      </w:r>
      <w:r w:rsidRPr="001918B3">
        <w:rPr>
          <w:b/>
          <w:bCs/>
          <w:i/>
          <w:iCs/>
          <w:sz w:val="28"/>
          <w:szCs w:val="28"/>
          <w:lang w:eastAsia="ko-KR"/>
        </w:rPr>
        <w:t>ource: AWG-3</w:t>
      </w:r>
      <w:r>
        <w:rPr>
          <w:b/>
          <w:bCs/>
          <w:i/>
          <w:iCs/>
          <w:sz w:val="28"/>
          <w:szCs w:val="28"/>
          <w:lang w:eastAsia="ko-KR"/>
        </w:rPr>
        <w:t>2</w:t>
      </w:r>
      <w:r w:rsidRPr="001918B3">
        <w:rPr>
          <w:b/>
          <w:bCs/>
          <w:i/>
          <w:iCs/>
          <w:sz w:val="28"/>
          <w:szCs w:val="28"/>
          <w:lang w:eastAsia="ko-KR"/>
        </w:rPr>
        <w:t>/OUT-</w:t>
      </w:r>
      <w:r>
        <w:rPr>
          <w:b/>
          <w:bCs/>
          <w:i/>
          <w:iCs/>
          <w:sz w:val="28"/>
          <w:szCs w:val="28"/>
          <w:lang w:eastAsia="ko-KR"/>
        </w:rPr>
        <w:t>18</w:t>
      </w:r>
      <w:r w:rsidRPr="001918B3">
        <w:rPr>
          <w:b/>
          <w:bCs/>
          <w:i/>
          <w:iCs/>
          <w:sz w:val="28"/>
          <w:szCs w:val="28"/>
          <w:lang w:eastAsia="ko-KR"/>
        </w:rPr>
        <w:t>)</w:t>
      </w:r>
    </w:p>
    <w:p w14:paraId="21258A49" w14:textId="77777777" w:rsidR="0019002D" w:rsidRDefault="0019002D" w:rsidP="0009714B">
      <w:pPr>
        <w:jc w:val="center"/>
        <w:rPr>
          <w:b/>
          <w:bCs/>
          <w:noProof/>
        </w:rPr>
      </w:pPr>
    </w:p>
    <w:p w14:paraId="6653E043" w14:textId="77777777" w:rsidR="0019002D" w:rsidRDefault="0019002D" w:rsidP="0009714B">
      <w:pPr>
        <w:jc w:val="center"/>
        <w:rPr>
          <w:b/>
          <w:bCs/>
          <w:noProof/>
        </w:rPr>
      </w:pPr>
    </w:p>
    <w:p w14:paraId="41962F69" w14:textId="77777777" w:rsidR="0019002D" w:rsidRDefault="0019002D" w:rsidP="0009714B">
      <w:pPr>
        <w:jc w:val="center"/>
        <w:rPr>
          <w:b/>
          <w:bCs/>
          <w:noProof/>
        </w:rPr>
      </w:pPr>
    </w:p>
    <w:p w14:paraId="23565CF6" w14:textId="77777777" w:rsidR="0019002D" w:rsidRDefault="0019002D" w:rsidP="0009714B">
      <w:pPr>
        <w:jc w:val="center"/>
        <w:rPr>
          <w:b/>
          <w:bCs/>
          <w:noProof/>
        </w:rPr>
      </w:pPr>
    </w:p>
    <w:p w14:paraId="00BB08EF" w14:textId="77777777" w:rsidR="0019002D" w:rsidRDefault="0019002D" w:rsidP="0009714B">
      <w:pPr>
        <w:jc w:val="center"/>
        <w:rPr>
          <w:b/>
          <w:bCs/>
          <w:noProof/>
        </w:rPr>
      </w:pPr>
    </w:p>
    <w:p w14:paraId="4BE6FC1D" w14:textId="77777777" w:rsidR="0019002D" w:rsidRDefault="0019002D" w:rsidP="0009714B">
      <w:pPr>
        <w:jc w:val="center"/>
        <w:rPr>
          <w:b/>
          <w:bCs/>
          <w:noProof/>
        </w:rPr>
      </w:pPr>
    </w:p>
    <w:p w14:paraId="2585641D" w14:textId="77777777" w:rsidR="0019002D" w:rsidRDefault="0019002D" w:rsidP="0009714B">
      <w:pPr>
        <w:jc w:val="center"/>
        <w:rPr>
          <w:b/>
          <w:bCs/>
          <w:noProof/>
        </w:rPr>
      </w:pPr>
    </w:p>
    <w:p w14:paraId="2B675601" w14:textId="342F5F7F" w:rsidR="0019002D" w:rsidRDefault="0019002D" w:rsidP="0009714B">
      <w:pPr>
        <w:jc w:val="center"/>
        <w:rPr>
          <w:b/>
          <w:bCs/>
          <w:noProof/>
        </w:rPr>
      </w:pPr>
    </w:p>
    <w:p w14:paraId="1903E0D1" w14:textId="4EAC2EA0" w:rsidR="0009714B" w:rsidRPr="0019002D" w:rsidRDefault="0019002D" w:rsidP="0019002D">
      <w:pPr>
        <w:jc w:val="center"/>
        <w:rPr>
          <w:b/>
          <w:bCs/>
          <w:noProof/>
        </w:rPr>
      </w:pPr>
      <w:r>
        <w:rPr>
          <w:rFonts w:eastAsiaTheme="minorEastAsia" w:hint="eastAsia"/>
          <w:noProof/>
          <w:color w:val="FF0000"/>
          <w:sz w:val="28"/>
          <w:szCs w:val="28"/>
          <w:lang w:eastAsia="ko-KR"/>
        </w:rPr>
        <mc:AlternateContent>
          <mc:Choice Requires="wps">
            <w:drawing>
              <wp:anchor distT="0" distB="0" distL="114300" distR="114300" simplePos="0" relativeHeight="251661312" behindDoc="0" locked="0" layoutInCell="1" allowOverlap="1" wp14:anchorId="57C34F38" wp14:editId="58EE1B2F">
                <wp:simplePos x="0" y="0"/>
                <wp:positionH relativeFrom="column">
                  <wp:posOffset>4371975</wp:posOffset>
                </wp:positionH>
                <wp:positionV relativeFrom="paragraph">
                  <wp:posOffset>137477</wp:posOffset>
                </wp:positionV>
                <wp:extent cx="222885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228850" cy="381000"/>
                        </a:xfrm>
                        <a:prstGeom prst="rect">
                          <a:avLst/>
                        </a:prstGeom>
                        <a:noFill/>
                        <a:ln w="6350">
                          <a:noFill/>
                        </a:ln>
                      </wps:spPr>
                      <wps:txbx>
                        <w:txbxContent>
                          <w:p w14:paraId="243EE321" w14:textId="2A1DA769" w:rsidR="0019002D" w:rsidRPr="00422CF6" w:rsidRDefault="0019002D" w:rsidP="0019002D">
                            <w:pPr>
                              <w:rPr>
                                <w:b/>
                                <w:bCs/>
                                <w:spacing w:val="4"/>
                                <w:sz w:val="28"/>
                                <w:szCs w:val="28"/>
                              </w:rPr>
                            </w:pPr>
                            <w:r w:rsidRPr="00422CF6">
                              <w:rPr>
                                <w:b/>
                                <w:bCs/>
                                <w:spacing w:val="4"/>
                                <w:sz w:val="28"/>
                                <w:szCs w:val="28"/>
                              </w:rPr>
                              <w:t>No. APT/AWG/REP-1</w:t>
                            </w:r>
                            <w:r>
                              <w:rPr>
                                <w:b/>
                                <w:bCs/>
                                <w:spacing w:val="4"/>
                                <w:sz w:val="28"/>
                                <w:szCs w:val="28"/>
                              </w:rPr>
                              <w:t>3</w:t>
                            </w:r>
                            <w:r w:rsidRPr="00422CF6">
                              <w:rPr>
                                <w:b/>
                                <w:bCs/>
                                <w:spacing w:val="4"/>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C34F38" id="_x0000_t202" coordsize="21600,21600" o:spt="202" path="m,l,21600r21600,l21600,xe">
                <v:stroke joinstyle="miter"/>
                <v:path gradientshapeok="t" o:connecttype="rect"/>
              </v:shapetype>
              <v:shape id="Text Box 74" o:spid="_x0000_s1026" type="#_x0000_t202" style="position:absolute;left:0;text-align:left;margin-left:344.25pt;margin-top:10.8pt;width:175.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" filled="f" stroked="f" strokeweight=".5pt">
                <v:textbox>
                  <w:txbxContent>
                    <w:p w14:paraId="243EE321" w14:textId="2A1DA769" w:rsidR="0019002D" w:rsidRPr="00422CF6" w:rsidRDefault="0019002D" w:rsidP="0019002D">
                      <w:pPr>
                        <w:rPr>
                          <w:b/>
                          <w:bCs/>
                          <w:spacing w:val="4"/>
                          <w:sz w:val="28"/>
                          <w:szCs w:val="28"/>
                        </w:rPr>
                      </w:pPr>
                      <w:r w:rsidRPr="00422CF6">
                        <w:rPr>
                          <w:b/>
                          <w:bCs/>
                          <w:spacing w:val="4"/>
                          <w:sz w:val="28"/>
                          <w:szCs w:val="28"/>
                        </w:rPr>
                        <w:t>No. APT/AWG/REP-1</w:t>
                      </w:r>
                      <w:r>
                        <w:rPr>
                          <w:b/>
                          <w:bCs/>
                          <w:spacing w:val="4"/>
                          <w:sz w:val="28"/>
                          <w:szCs w:val="28"/>
                        </w:rPr>
                        <w:t>3</w:t>
                      </w:r>
                      <w:r w:rsidRPr="00422CF6">
                        <w:rPr>
                          <w:b/>
                          <w:bCs/>
                          <w:spacing w:val="4"/>
                          <w:sz w:val="28"/>
                          <w:szCs w:val="28"/>
                        </w:rPr>
                        <w:t>7</w:t>
                      </w:r>
                    </w:p>
                  </w:txbxContent>
                </v:textbox>
              </v:shape>
            </w:pict>
          </mc:Fallback>
        </mc:AlternateContent>
      </w:r>
    </w:p>
    <w:p w14:paraId="265446A9" w14:textId="667B088C" w:rsidR="0009714B" w:rsidRDefault="005C67DA" w:rsidP="00552D30">
      <w:pPr>
        <w:jc w:val="center"/>
        <w:rPr>
          <w:b/>
          <w:caps/>
          <w:sz w:val="28"/>
          <w:szCs w:val="28"/>
        </w:rPr>
      </w:pPr>
      <w:r w:rsidRPr="002E196B">
        <w:rPr>
          <w:b/>
          <w:caps/>
          <w:sz w:val="28"/>
          <w:szCs w:val="28"/>
        </w:rPr>
        <w:lastRenderedPageBreak/>
        <w:t xml:space="preserve">APT REPORT ON </w:t>
      </w:r>
    </w:p>
    <w:p w14:paraId="561AAF48" w14:textId="24ECAA76" w:rsidR="005C67DA" w:rsidRPr="002E196B" w:rsidRDefault="00093DA2" w:rsidP="00552D30">
      <w:pPr>
        <w:jc w:val="center"/>
        <w:rPr>
          <w:b/>
          <w:caps/>
          <w:sz w:val="28"/>
          <w:szCs w:val="28"/>
        </w:rPr>
      </w:pPr>
      <w:r w:rsidRPr="002E196B">
        <w:rPr>
          <w:b/>
          <w:caps/>
          <w:sz w:val="28"/>
          <w:szCs w:val="28"/>
        </w:rPr>
        <w:t>OPERATION</w:t>
      </w:r>
      <w:r w:rsidR="00415D33" w:rsidRPr="002E196B">
        <w:rPr>
          <w:b/>
          <w:caps/>
          <w:sz w:val="28"/>
          <w:szCs w:val="28"/>
        </w:rPr>
        <w:t xml:space="preserve">al </w:t>
      </w:r>
      <w:r w:rsidR="0001338F" w:rsidRPr="002E196B">
        <w:rPr>
          <w:b/>
          <w:caps/>
          <w:sz w:val="28"/>
          <w:szCs w:val="28"/>
        </w:rPr>
        <w:t xml:space="preserve">information </w:t>
      </w:r>
      <w:r w:rsidR="003424AF" w:rsidRPr="002E196B">
        <w:rPr>
          <w:b/>
          <w:caps/>
          <w:sz w:val="28"/>
          <w:szCs w:val="28"/>
        </w:rPr>
        <w:t>OF</w:t>
      </w:r>
      <w:r w:rsidR="001129CE" w:rsidRPr="002E196B">
        <w:rPr>
          <w:b/>
          <w:caps/>
          <w:sz w:val="28"/>
          <w:szCs w:val="28"/>
        </w:rPr>
        <w:t xml:space="preserve"> a </w:t>
      </w:r>
      <w:r w:rsidR="005C67DA" w:rsidRPr="002E196B">
        <w:rPr>
          <w:b/>
          <w:caps/>
          <w:sz w:val="28"/>
          <w:szCs w:val="28"/>
        </w:rPr>
        <w:t xml:space="preserve">Non-GSO </w:t>
      </w:r>
      <w:r w:rsidR="002D58AF" w:rsidRPr="002E196B">
        <w:rPr>
          <w:b/>
          <w:caps/>
          <w:sz w:val="28"/>
          <w:szCs w:val="28"/>
        </w:rPr>
        <w:t xml:space="preserve">FSS </w:t>
      </w:r>
      <w:r w:rsidR="005C67DA" w:rsidRPr="002E196B">
        <w:rPr>
          <w:b/>
          <w:caps/>
          <w:sz w:val="28"/>
          <w:szCs w:val="28"/>
        </w:rPr>
        <w:t>Earth Station TERMINAL</w:t>
      </w:r>
      <w:r w:rsidR="00B36D05" w:rsidRPr="002E196B">
        <w:rPr>
          <w:b/>
          <w:caps/>
          <w:sz w:val="28"/>
          <w:szCs w:val="28"/>
        </w:rPr>
        <w:t xml:space="preserve"> </w:t>
      </w:r>
      <w:r w:rsidR="00691AF4" w:rsidRPr="002E196B">
        <w:rPr>
          <w:b/>
          <w:caps/>
          <w:sz w:val="28"/>
          <w:szCs w:val="28"/>
        </w:rPr>
        <w:t>ON VESSEL</w:t>
      </w:r>
      <w:r w:rsidR="0092483D" w:rsidRPr="002E196B">
        <w:rPr>
          <w:b/>
          <w:caps/>
          <w:sz w:val="28"/>
          <w:szCs w:val="28"/>
        </w:rPr>
        <w:t>s</w:t>
      </w:r>
      <w:r w:rsidR="00691AF4" w:rsidRPr="002E196B">
        <w:rPr>
          <w:b/>
          <w:caps/>
          <w:sz w:val="28"/>
          <w:szCs w:val="28"/>
        </w:rPr>
        <w:t xml:space="preserve"> AND AIRCRAFT</w:t>
      </w:r>
      <w:r w:rsidR="0068722B" w:rsidRPr="002E196B">
        <w:rPr>
          <w:b/>
          <w:caps/>
          <w:sz w:val="28"/>
          <w:szCs w:val="28"/>
        </w:rPr>
        <w:t xml:space="preserve"> OPERATED UNDER FSS</w:t>
      </w:r>
      <w:r w:rsidR="00731B00" w:rsidRPr="002E196B">
        <w:rPr>
          <w:b/>
          <w:caps/>
          <w:sz w:val="28"/>
          <w:szCs w:val="28"/>
        </w:rPr>
        <w:t xml:space="preserve"> OPERATING</w:t>
      </w:r>
      <w:r w:rsidR="005C67DA" w:rsidRPr="002E196B">
        <w:rPr>
          <w:b/>
          <w:caps/>
          <w:sz w:val="28"/>
          <w:szCs w:val="28"/>
        </w:rPr>
        <w:t xml:space="preserve"> </w:t>
      </w:r>
      <w:r w:rsidR="002D58AF" w:rsidRPr="002E196B">
        <w:rPr>
          <w:b/>
          <w:caps/>
          <w:sz w:val="28"/>
          <w:szCs w:val="28"/>
        </w:rPr>
        <w:t>in the frequency bands 10.7-12.75 GHz (space-to-Earth) and 14-14.5 GHz (Earth-to-space)</w:t>
      </w:r>
    </w:p>
    <w:p w14:paraId="58C3442E" w14:textId="70836B77" w:rsidR="005C67DA" w:rsidRPr="002E196B" w:rsidRDefault="005C67DA" w:rsidP="00552D30">
      <w:pPr>
        <w:jc w:val="center"/>
        <w:rPr>
          <w:b/>
          <w:caps/>
          <w:sz w:val="28"/>
          <w:szCs w:val="28"/>
        </w:rPr>
      </w:pPr>
    </w:p>
    <w:sdt>
      <w:sdtPr>
        <w:rPr>
          <w:rFonts w:ascii="Times New Roman" w:eastAsia="BatangChe" w:hAnsi="Times New Roman" w:cs="Times New Roman"/>
          <w:color w:val="auto"/>
          <w:sz w:val="24"/>
          <w:szCs w:val="24"/>
        </w:rPr>
        <w:id w:val="-1787967770"/>
        <w:docPartObj>
          <w:docPartGallery w:val="Table of Contents"/>
          <w:docPartUnique/>
        </w:docPartObj>
      </w:sdtPr>
      <w:sdtEndPr>
        <w:rPr>
          <w:b/>
          <w:bCs/>
          <w:noProof/>
        </w:rPr>
      </w:sdtEndPr>
      <w:sdtContent>
        <w:p w14:paraId="6CBD2077" w14:textId="0D76A920" w:rsidR="001E78C4" w:rsidRPr="002E196B" w:rsidRDefault="000E358F" w:rsidP="000E358F">
          <w:pPr>
            <w:pStyle w:val="TOCHeading"/>
            <w:spacing w:after="120"/>
            <w:rPr>
              <w:rFonts w:ascii="Times New Roman" w:hAnsi="Times New Roman" w:cs="Times New Roman"/>
              <w:sz w:val="24"/>
              <w:szCs w:val="24"/>
            </w:rPr>
          </w:pPr>
          <w:r w:rsidRPr="002E196B">
            <w:rPr>
              <w:rFonts w:ascii="Times New Roman" w:eastAsia="BatangChe" w:hAnsi="Times New Roman" w:cs="Times New Roman"/>
              <w:b/>
              <w:bCs/>
              <w:color w:val="auto"/>
              <w:sz w:val="24"/>
              <w:szCs w:val="24"/>
            </w:rPr>
            <w:t>Table of</w:t>
          </w:r>
          <w:r w:rsidRPr="002E196B">
            <w:rPr>
              <w:rFonts w:ascii="Times New Roman" w:eastAsia="BatangChe" w:hAnsi="Times New Roman" w:cs="Times New Roman"/>
              <w:color w:val="auto"/>
              <w:sz w:val="24"/>
              <w:szCs w:val="24"/>
            </w:rPr>
            <w:t xml:space="preserve"> </w:t>
          </w:r>
          <w:r w:rsidR="001E78C4" w:rsidRPr="002E196B">
            <w:rPr>
              <w:rFonts w:ascii="Times New Roman" w:hAnsi="Times New Roman" w:cs="Times New Roman"/>
              <w:b/>
              <w:bCs/>
              <w:color w:val="000000" w:themeColor="text1"/>
              <w:sz w:val="24"/>
              <w:szCs w:val="24"/>
            </w:rPr>
            <w:t>Contents</w:t>
          </w:r>
        </w:p>
        <w:p w14:paraId="78F4EF31" w14:textId="07DCCD26" w:rsidR="00931F11" w:rsidRPr="002E196B" w:rsidRDefault="001E78C4" w:rsidP="005D344B">
          <w:pPr>
            <w:pStyle w:val="TOC1"/>
            <w:rPr>
              <w:rFonts w:asciiTheme="minorHAnsi" w:eastAsiaTheme="minorEastAsia" w:hAnsiTheme="minorHAnsi" w:cstheme="minorBidi"/>
              <w:noProof/>
              <w:sz w:val="22"/>
              <w:szCs w:val="22"/>
            </w:rPr>
          </w:pPr>
          <w:r w:rsidRPr="002E196B">
            <w:fldChar w:fldCharType="begin"/>
          </w:r>
          <w:r w:rsidRPr="002E196B">
            <w:instrText xml:space="preserve"> TOC \o "1-3" \h \z \u </w:instrText>
          </w:r>
          <w:r w:rsidRPr="002E196B">
            <w:fldChar w:fldCharType="separate"/>
          </w:r>
          <w:hyperlink w:anchor="_Toc160797071" w:history="1">
            <w:r w:rsidR="00931F11" w:rsidRPr="002E196B">
              <w:rPr>
                <w:rStyle w:val="Hyperlink"/>
                <w:noProof/>
              </w:rPr>
              <w:t>1.</w:t>
            </w:r>
            <w:r w:rsidR="00931F11" w:rsidRPr="002E196B">
              <w:rPr>
                <w:rFonts w:asciiTheme="minorHAnsi" w:eastAsiaTheme="minorEastAsia" w:hAnsiTheme="minorHAnsi" w:cstheme="minorBidi"/>
                <w:noProof/>
                <w:sz w:val="22"/>
                <w:szCs w:val="22"/>
              </w:rPr>
              <w:tab/>
            </w:r>
            <w:r w:rsidR="00931F11" w:rsidRPr="002E196B">
              <w:rPr>
                <w:rStyle w:val="Hyperlink"/>
                <w:noProof/>
              </w:rPr>
              <w:t>Introduction</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_Toc160797071 \h </w:instrText>
            </w:r>
            <w:r w:rsidR="00931F11" w:rsidRPr="002E196B">
              <w:rPr>
                <w:noProof/>
                <w:webHidden/>
              </w:rPr>
            </w:r>
            <w:r w:rsidR="00931F11" w:rsidRPr="002E196B">
              <w:rPr>
                <w:noProof/>
                <w:webHidden/>
              </w:rPr>
              <w:fldChar w:fldCharType="separate"/>
            </w:r>
            <w:r w:rsidR="0009714B">
              <w:rPr>
                <w:noProof/>
                <w:webHidden/>
              </w:rPr>
              <w:t>3</w:t>
            </w:r>
            <w:r w:rsidR="00931F11" w:rsidRPr="002E196B">
              <w:rPr>
                <w:noProof/>
                <w:webHidden/>
              </w:rPr>
              <w:fldChar w:fldCharType="end"/>
            </w:r>
          </w:hyperlink>
        </w:p>
        <w:p w14:paraId="67891C64" w14:textId="0098E33B" w:rsidR="00931F11" w:rsidRPr="002E196B" w:rsidRDefault="00000000" w:rsidP="005D344B">
          <w:pPr>
            <w:pStyle w:val="TOC1"/>
            <w:rPr>
              <w:rFonts w:asciiTheme="minorHAnsi" w:eastAsiaTheme="minorEastAsia" w:hAnsiTheme="minorHAnsi" w:cstheme="minorBidi"/>
              <w:noProof/>
              <w:sz w:val="22"/>
              <w:szCs w:val="22"/>
            </w:rPr>
          </w:pPr>
          <w:hyperlink w:anchor="_Toc160797072" w:history="1">
            <w:r w:rsidR="00931F11" w:rsidRPr="002E196B">
              <w:rPr>
                <w:rStyle w:val="Hyperlink"/>
                <w:noProof/>
              </w:rPr>
              <w:t>2.</w:t>
            </w:r>
            <w:r w:rsidR="00931F11" w:rsidRPr="002E196B">
              <w:rPr>
                <w:rFonts w:asciiTheme="minorHAnsi" w:eastAsiaTheme="minorEastAsia" w:hAnsiTheme="minorHAnsi" w:cstheme="minorBidi"/>
                <w:noProof/>
                <w:sz w:val="22"/>
                <w:szCs w:val="22"/>
              </w:rPr>
              <w:tab/>
            </w:r>
            <w:r w:rsidR="00931F11" w:rsidRPr="002E196B">
              <w:rPr>
                <w:rStyle w:val="Hyperlink"/>
                <w:noProof/>
              </w:rPr>
              <w:t>Scope</w:t>
            </w:r>
            <w:r w:rsidR="00931F11" w:rsidRPr="002E196B">
              <w:rPr>
                <w:noProof/>
                <w:webHidden/>
              </w:rPr>
              <w:tab/>
            </w:r>
            <w:r w:rsidR="005D344B" w:rsidRPr="002E196B">
              <w:rPr>
                <w:noProof/>
                <w:webHidden/>
              </w:rPr>
              <w:tab/>
            </w:r>
            <w:r w:rsidR="00931F11" w:rsidRPr="002E196B">
              <w:rPr>
                <w:noProof/>
                <w:webHidden/>
              </w:rPr>
              <w:fldChar w:fldCharType="begin"/>
            </w:r>
            <w:r w:rsidR="00931F11" w:rsidRPr="002E196B">
              <w:rPr>
                <w:noProof/>
                <w:webHidden/>
              </w:rPr>
              <w:instrText xml:space="preserve"> PAGEREF _Toc160797072 \h </w:instrText>
            </w:r>
            <w:r w:rsidR="00931F11" w:rsidRPr="002E196B">
              <w:rPr>
                <w:noProof/>
                <w:webHidden/>
              </w:rPr>
            </w:r>
            <w:r w:rsidR="00931F11" w:rsidRPr="002E196B">
              <w:rPr>
                <w:noProof/>
                <w:webHidden/>
              </w:rPr>
              <w:fldChar w:fldCharType="separate"/>
            </w:r>
            <w:r w:rsidR="0009714B">
              <w:rPr>
                <w:noProof/>
                <w:webHidden/>
              </w:rPr>
              <w:t>3</w:t>
            </w:r>
            <w:r w:rsidR="00931F11" w:rsidRPr="002E196B">
              <w:rPr>
                <w:noProof/>
                <w:webHidden/>
              </w:rPr>
              <w:fldChar w:fldCharType="end"/>
            </w:r>
          </w:hyperlink>
        </w:p>
        <w:p w14:paraId="12131042" w14:textId="6627B957" w:rsidR="00931F11" w:rsidRPr="002E196B" w:rsidRDefault="00000000" w:rsidP="005D344B">
          <w:pPr>
            <w:pStyle w:val="TOC1"/>
            <w:rPr>
              <w:rFonts w:asciiTheme="minorHAnsi" w:eastAsiaTheme="minorEastAsia" w:hAnsiTheme="minorHAnsi" w:cstheme="minorBidi"/>
              <w:noProof/>
              <w:sz w:val="22"/>
              <w:szCs w:val="22"/>
            </w:rPr>
          </w:pPr>
          <w:hyperlink w:anchor="_Toc160797073" w:history="1">
            <w:r w:rsidR="00931F11" w:rsidRPr="002E196B">
              <w:rPr>
                <w:rStyle w:val="Hyperlink"/>
                <w:noProof/>
              </w:rPr>
              <w:t>3.</w:t>
            </w:r>
            <w:r w:rsidR="00931F11" w:rsidRPr="002E196B">
              <w:rPr>
                <w:rFonts w:asciiTheme="minorHAnsi" w:eastAsiaTheme="minorEastAsia" w:hAnsiTheme="minorHAnsi" w:cstheme="minorBidi"/>
                <w:noProof/>
                <w:sz w:val="22"/>
                <w:szCs w:val="22"/>
              </w:rPr>
              <w:tab/>
            </w:r>
            <w:r w:rsidR="00931F11" w:rsidRPr="002E196B">
              <w:rPr>
                <w:rStyle w:val="Hyperlink"/>
                <w:noProof/>
              </w:rPr>
              <w:t>Relevant ITU Radio Regulations in the frequency bands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_Toc160797073 \h </w:instrText>
            </w:r>
            <w:r w:rsidR="00931F11" w:rsidRPr="002E196B">
              <w:rPr>
                <w:noProof/>
                <w:webHidden/>
              </w:rPr>
            </w:r>
            <w:r w:rsidR="00931F11" w:rsidRPr="002E196B">
              <w:rPr>
                <w:noProof/>
                <w:webHidden/>
              </w:rPr>
              <w:fldChar w:fldCharType="separate"/>
            </w:r>
            <w:r w:rsidR="0009714B">
              <w:rPr>
                <w:noProof/>
                <w:webHidden/>
              </w:rPr>
              <w:t>3</w:t>
            </w:r>
            <w:r w:rsidR="00931F11" w:rsidRPr="002E196B">
              <w:rPr>
                <w:noProof/>
                <w:webHidden/>
              </w:rPr>
              <w:fldChar w:fldCharType="end"/>
            </w:r>
          </w:hyperlink>
        </w:p>
        <w:p w14:paraId="006364FC" w14:textId="697D9D67" w:rsidR="00931F11" w:rsidRPr="002E196B" w:rsidRDefault="00000000" w:rsidP="005D344B">
          <w:pPr>
            <w:pStyle w:val="TOC1"/>
            <w:rPr>
              <w:rFonts w:asciiTheme="minorHAnsi" w:eastAsiaTheme="minorEastAsia" w:hAnsiTheme="minorHAnsi" w:cstheme="minorBidi"/>
              <w:noProof/>
              <w:sz w:val="22"/>
              <w:szCs w:val="22"/>
            </w:rPr>
          </w:pPr>
          <w:hyperlink w:anchor="_Toc160797074" w:history="1">
            <w:r w:rsidR="00931F11" w:rsidRPr="002E196B">
              <w:rPr>
                <w:rStyle w:val="Hyperlink"/>
                <w:noProof/>
              </w:rPr>
              <w:t>4.</w:t>
            </w:r>
            <w:r w:rsidR="00931F11" w:rsidRPr="002E196B">
              <w:rPr>
                <w:rFonts w:asciiTheme="minorHAnsi" w:eastAsiaTheme="minorEastAsia" w:hAnsiTheme="minorHAnsi" w:cstheme="minorBidi"/>
                <w:noProof/>
                <w:sz w:val="22"/>
                <w:szCs w:val="22"/>
              </w:rPr>
              <w:tab/>
            </w:r>
            <w:r w:rsidR="00931F11" w:rsidRPr="002E196B">
              <w:rPr>
                <w:rStyle w:val="Hyperlink"/>
                <w:noProof/>
              </w:rPr>
              <w:t>Technical analysis of a specific NGSO Earth Station Terminal on ships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_Toc160797074 \h </w:instrText>
            </w:r>
            <w:r w:rsidR="00931F11" w:rsidRPr="002E196B">
              <w:rPr>
                <w:noProof/>
                <w:webHidden/>
              </w:rPr>
            </w:r>
            <w:r w:rsidR="00931F11" w:rsidRPr="002E196B">
              <w:rPr>
                <w:noProof/>
                <w:webHidden/>
              </w:rPr>
              <w:fldChar w:fldCharType="separate"/>
            </w:r>
            <w:r w:rsidR="0009714B">
              <w:rPr>
                <w:noProof/>
                <w:webHidden/>
              </w:rPr>
              <w:t>4</w:t>
            </w:r>
            <w:r w:rsidR="00931F11" w:rsidRPr="002E196B">
              <w:rPr>
                <w:noProof/>
                <w:webHidden/>
              </w:rPr>
              <w:fldChar w:fldCharType="end"/>
            </w:r>
          </w:hyperlink>
        </w:p>
        <w:p w14:paraId="0025C316" w14:textId="1CAF5BA6" w:rsidR="00931F11" w:rsidRPr="002E196B" w:rsidRDefault="00000000">
          <w:pPr>
            <w:pStyle w:val="TOC2"/>
            <w:rPr>
              <w:rFonts w:asciiTheme="minorHAnsi" w:eastAsiaTheme="minorEastAsia" w:hAnsiTheme="minorHAnsi" w:cstheme="minorBidi"/>
              <w:noProof/>
              <w:sz w:val="22"/>
              <w:szCs w:val="22"/>
            </w:rPr>
          </w:pPr>
          <w:hyperlink w:anchor="_Toc160797075" w:history="1">
            <w:r w:rsidR="00931F11" w:rsidRPr="002E196B">
              <w:rPr>
                <w:rStyle w:val="Hyperlink"/>
                <w:noProof/>
              </w:rPr>
              <w:t>4.1.</w:t>
            </w:r>
            <w:r w:rsidR="00931F11" w:rsidRPr="002E196B">
              <w:rPr>
                <w:rFonts w:asciiTheme="minorHAnsi" w:eastAsiaTheme="minorEastAsia" w:hAnsiTheme="minorHAnsi" w:cstheme="minorBidi"/>
                <w:noProof/>
                <w:sz w:val="22"/>
                <w:szCs w:val="22"/>
              </w:rPr>
              <w:tab/>
            </w:r>
            <w:r w:rsidR="00931F11" w:rsidRPr="002E196B">
              <w:rPr>
                <w:rStyle w:val="Hyperlink"/>
                <w:noProof/>
              </w:rPr>
              <w:t>Maritime NGSO Earth Station Terminals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_Toc160797075 \h </w:instrText>
            </w:r>
            <w:r w:rsidR="00931F11" w:rsidRPr="002E196B">
              <w:rPr>
                <w:noProof/>
                <w:webHidden/>
              </w:rPr>
            </w:r>
            <w:r w:rsidR="00931F11" w:rsidRPr="002E196B">
              <w:rPr>
                <w:noProof/>
                <w:webHidden/>
              </w:rPr>
              <w:fldChar w:fldCharType="separate"/>
            </w:r>
            <w:r w:rsidR="0009714B">
              <w:rPr>
                <w:noProof/>
                <w:webHidden/>
              </w:rPr>
              <w:t>4</w:t>
            </w:r>
            <w:r w:rsidR="00931F11" w:rsidRPr="002E196B">
              <w:rPr>
                <w:noProof/>
                <w:webHidden/>
              </w:rPr>
              <w:fldChar w:fldCharType="end"/>
            </w:r>
          </w:hyperlink>
        </w:p>
        <w:p w14:paraId="43B9C490" w14:textId="79EDA4C0" w:rsidR="00931F11" w:rsidRPr="002E196B" w:rsidRDefault="00000000">
          <w:pPr>
            <w:pStyle w:val="TOC2"/>
            <w:rPr>
              <w:rFonts w:asciiTheme="minorHAnsi" w:eastAsiaTheme="minorEastAsia" w:hAnsiTheme="minorHAnsi" w:cstheme="minorBidi"/>
              <w:noProof/>
              <w:sz w:val="22"/>
              <w:szCs w:val="22"/>
            </w:rPr>
          </w:pPr>
          <w:hyperlink w:anchor="_Toc160797076" w:history="1">
            <w:r w:rsidR="00931F11" w:rsidRPr="002E196B">
              <w:rPr>
                <w:rStyle w:val="Hyperlink"/>
                <w:noProof/>
              </w:rPr>
              <w:t>4.2.</w:t>
            </w:r>
            <w:r w:rsidR="00931F11" w:rsidRPr="002E196B">
              <w:rPr>
                <w:rFonts w:asciiTheme="minorHAnsi" w:eastAsiaTheme="minorEastAsia" w:hAnsiTheme="minorHAnsi" w:cstheme="minorBidi"/>
                <w:noProof/>
                <w:sz w:val="22"/>
                <w:szCs w:val="22"/>
              </w:rPr>
              <w:tab/>
            </w:r>
            <w:r w:rsidR="00931F11" w:rsidRPr="002E196B">
              <w:rPr>
                <w:rStyle w:val="Hyperlink"/>
                <w:noProof/>
              </w:rPr>
              <w:t>Interference potential of a specific NGSO Earth Station Terminal on ships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_Toc160797076 \h </w:instrText>
            </w:r>
            <w:r w:rsidR="00931F11" w:rsidRPr="002E196B">
              <w:rPr>
                <w:noProof/>
                <w:webHidden/>
              </w:rPr>
            </w:r>
            <w:r w:rsidR="00931F11" w:rsidRPr="002E196B">
              <w:rPr>
                <w:noProof/>
                <w:webHidden/>
              </w:rPr>
              <w:fldChar w:fldCharType="separate"/>
            </w:r>
            <w:r w:rsidR="0009714B">
              <w:rPr>
                <w:noProof/>
                <w:webHidden/>
              </w:rPr>
              <w:t>4</w:t>
            </w:r>
            <w:r w:rsidR="00931F11" w:rsidRPr="002E196B">
              <w:rPr>
                <w:noProof/>
                <w:webHidden/>
              </w:rPr>
              <w:fldChar w:fldCharType="end"/>
            </w:r>
          </w:hyperlink>
        </w:p>
        <w:p w14:paraId="48B6988C" w14:textId="68126EA8" w:rsidR="00931F11" w:rsidRPr="002E196B" w:rsidRDefault="00000000">
          <w:pPr>
            <w:pStyle w:val="TOC2"/>
            <w:rPr>
              <w:rFonts w:asciiTheme="minorHAnsi" w:eastAsiaTheme="minorEastAsia" w:hAnsiTheme="minorHAnsi" w:cstheme="minorBidi"/>
              <w:noProof/>
              <w:sz w:val="22"/>
              <w:szCs w:val="22"/>
            </w:rPr>
          </w:pPr>
          <w:hyperlink w:anchor="_Toc160797077" w:history="1">
            <w:r w:rsidR="00931F11" w:rsidRPr="002E196B">
              <w:rPr>
                <w:rStyle w:val="Hyperlink"/>
                <w:noProof/>
              </w:rPr>
              <w:t>4.3.</w:t>
            </w:r>
            <w:r w:rsidR="00931F11" w:rsidRPr="002E196B">
              <w:rPr>
                <w:rFonts w:asciiTheme="minorHAnsi" w:eastAsiaTheme="minorEastAsia" w:hAnsiTheme="minorHAnsi" w:cstheme="minorBidi"/>
                <w:noProof/>
                <w:sz w:val="22"/>
                <w:szCs w:val="22"/>
              </w:rPr>
              <w:tab/>
            </w:r>
            <w:r w:rsidR="00931F11" w:rsidRPr="002E196B">
              <w:rPr>
                <w:rStyle w:val="Hyperlink"/>
                <w:noProof/>
              </w:rPr>
              <w:t xml:space="preserve">Consideration of the minimum distances beyond which ship based terminal can </w:t>
            </w:r>
            <w:r w:rsidR="00931F11" w:rsidRPr="002E196B">
              <w:rPr>
                <w:rStyle w:val="Hyperlink"/>
                <w:noProof/>
              </w:rPr>
              <w:tab/>
              <w:t>operate without the prior agreement for ship-based satellite terminals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_Toc160797077 \h </w:instrText>
            </w:r>
            <w:r w:rsidR="00931F11" w:rsidRPr="002E196B">
              <w:rPr>
                <w:noProof/>
                <w:webHidden/>
              </w:rPr>
            </w:r>
            <w:r w:rsidR="00931F11" w:rsidRPr="002E196B">
              <w:rPr>
                <w:noProof/>
                <w:webHidden/>
              </w:rPr>
              <w:fldChar w:fldCharType="separate"/>
            </w:r>
            <w:r w:rsidR="0009714B">
              <w:rPr>
                <w:noProof/>
                <w:webHidden/>
              </w:rPr>
              <w:t>5</w:t>
            </w:r>
            <w:r w:rsidR="00931F11" w:rsidRPr="002E196B">
              <w:rPr>
                <w:noProof/>
                <w:webHidden/>
              </w:rPr>
              <w:fldChar w:fldCharType="end"/>
            </w:r>
          </w:hyperlink>
        </w:p>
        <w:p w14:paraId="20071BB0" w14:textId="2F3228E1" w:rsidR="00931F11" w:rsidRPr="002E196B" w:rsidRDefault="00000000" w:rsidP="005D344B">
          <w:pPr>
            <w:pStyle w:val="TOC1"/>
            <w:rPr>
              <w:rFonts w:asciiTheme="minorHAnsi" w:eastAsiaTheme="minorEastAsia" w:hAnsiTheme="minorHAnsi" w:cstheme="minorBidi"/>
              <w:noProof/>
              <w:sz w:val="22"/>
              <w:szCs w:val="22"/>
            </w:rPr>
          </w:pPr>
          <w:hyperlink w:anchor="_Toc160797078" w:history="1">
            <w:r w:rsidR="00931F11" w:rsidRPr="002E196B">
              <w:rPr>
                <w:rStyle w:val="Hyperlink"/>
                <w:noProof/>
              </w:rPr>
              <w:t>5.</w:t>
            </w:r>
            <w:r w:rsidR="00931F11" w:rsidRPr="002E196B">
              <w:rPr>
                <w:rFonts w:asciiTheme="minorHAnsi" w:eastAsiaTheme="minorEastAsia" w:hAnsiTheme="minorHAnsi" w:cstheme="minorBidi"/>
                <w:noProof/>
                <w:sz w:val="22"/>
                <w:szCs w:val="22"/>
              </w:rPr>
              <w:tab/>
            </w:r>
            <w:r w:rsidR="00931F11" w:rsidRPr="002E196B">
              <w:rPr>
                <w:rStyle w:val="Hyperlink"/>
                <w:noProof/>
              </w:rPr>
              <w:t>Technical analysis of NGSO earth station terminals on aircrafts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_Toc160797078 \h </w:instrText>
            </w:r>
            <w:r w:rsidR="00931F11" w:rsidRPr="002E196B">
              <w:rPr>
                <w:noProof/>
                <w:webHidden/>
              </w:rPr>
            </w:r>
            <w:r w:rsidR="00931F11" w:rsidRPr="002E196B">
              <w:rPr>
                <w:noProof/>
                <w:webHidden/>
              </w:rPr>
              <w:fldChar w:fldCharType="separate"/>
            </w:r>
            <w:r w:rsidR="0009714B">
              <w:rPr>
                <w:noProof/>
                <w:webHidden/>
              </w:rPr>
              <w:t>5</w:t>
            </w:r>
            <w:r w:rsidR="00931F11" w:rsidRPr="002E196B">
              <w:rPr>
                <w:noProof/>
                <w:webHidden/>
              </w:rPr>
              <w:fldChar w:fldCharType="end"/>
            </w:r>
          </w:hyperlink>
        </w:p>
        <w:p w14:paraId="4BBDE6D5" w14:textId="3C1009A1" w:rsidR="00931F11" w:rsidRPr="002E196B" w:rsidRDefault="00000000">
          <w:pPr>
            <w:pStyle w:val="TOC2"/>
            <w:rPr>
              <w:rFonts w:asciiTheme="minorHAnsi" w:eastAsiaTheme="minorEastAsia" w:hAnsiTheme="minorHAnsi" w:cstheme="minorBidi"/>
              <w:noProof/>
              <w:sz w:val="22"/>
              <w:szCs w:val="22"/>
            </w:rPr>
          </w:pPr>
          <w:hyperlink w:anchor="_Toc160797079" w:history="1">
            <w:r w:rsidR="00931F11" w:rsidRPr="002E196B">
              <w:rPr>
                <w:rStyle w:val="Hyperlink"/>
                <w:noProof/>
              </w:rPr>
              <w:t>5.1.</w:t>
            </w:r>
            <w:r w:rsidR="00931F11" w:rsidRPr="002E196B">
              <w:rPr>
                <w:rFonts w:asciiTheme="minorHAnsi" w:eastAsiaTheme="minorEastAsia" w:hAnsiTheme="minorHAnsi" w:cstheme="minorBidi"/>
                <w:noProof/>
                <w:sz w:val="22"/>
                <w:szCs w:val="22"/>
              </w:rPr>
              <w:tab/>
            </w:r>
            <w:r w:rsidR="00931F11" w:rsidRPr="002E196B">
              <w:rPr>
                <w:rStyle w:val="Hyperlink"/>
                <w:noProof/>
              </w:rPr>
              <w:t>NGSO earth station terminals on aircrafts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_Toc160797079 \h </w:instrText>
            </w:r>
            <w:r w:rsidR="00931F11" w:rsidRPr="002E196B">
              <w:rPr>
                <w:noProof/>
                <w:webHidden/>
              </w:rPr>
            </w:r>
            <w:r w:rsidR="00931F11" w:rsidRPr="002E196B">
              <w:rPr>
                <w:noProof/>
                <w:webHidden/>
              </w:rPr>
              <w:fldChar w:fldCharType="separate"/>
            </w:r>
            <w:r w:rsidR="0009714B">
              <w:rPr>
                <w:noProof/>
                <w:webHidden/>
              </w:rPr>
              <w:t>5</w:t>
            </w:r>
            <w:r w:rsidR="00931F11" w:rsidRPr="002E196B">
              <w:rPr>
                <w:noProof/>
                <w:webHidden/>
              </w:rPr>
              <w:fldChar w:fldCharType="end"/>
            </w:r>
          </w:hyperlink>
        </w:p>
        <w:p w14:paraId="4F4D668C" w14:textId="62C02463" w:rsidR="00931F11" w:rsidRPr="002E196B" w:rsidRDefault="00000000">
          <w:pPr>
            <w:pStyle w:val="TOC2"/>
            <w:rPr>
              <w:rFonts w:asciiTheme="minorHAnsi" w:eastAsiaTheme="minorEastAsia" w:hAnsiTheme="minorHAnsi" w:cstheme="minorBidi"/>
              <w:noProof/>
              <w:sz w:val="22"/>
              <w:szCs w:val="22"/>
            </w:rPr>
          </w:pPr>
          <w:hyperlink w:anchor="_Toc160797080" w:history="1">
            <w:r w:rsidR="00931F11" w:rsidRPr="002E196B">
              <w:rPr>
                <w:rStyle w:val="Hyperlink"/>
                <w:noProof/>
              </w:rPr>
              <w:t>5.2.</w:t>
            </w:r>
            <w:r w:rsidR="00931F11" w:rsidRPr="002E196B">
              <w:rPr>
                <w:rFonts w:asciiTheme="minorHAnsi" w:eastAsiaTheme="minorEastAsia" w:hAnsiTheme="minorHAnsi" w:cstheme="minorBidi"/>
                <w:noProof/>
                <w:sz w:val="22"/>
                <w:szCs w:val="22"/>
              </w:rPr>
              <w:tab/>
            </w:r>
            <w:r w:rsidR="00931F11" w:rsidRPr="002E196B">
              <w:rPr>
                <w:rStyle w:val="Hyperlink"/>
                <w:noProof/>
              </w:rPr>
              <w:t>Interference potential of a specific NGSO Earth Station Terminal on aircrafts into FS</w:t>
            </w:r>
            <w:r w:rsidR="00931F11" w:rsidRPr="002E196B">
              <w:rPr>
                <w:noProof/>
                <w:webHidden/>
              </w:rPr>
              <w:tab/>
            </w:r>
            <w:r w:rsidR="00931F11" w:rsidRPr="002E196B">
              <w:rPr>
                <w:noProof/>
                <w:webHidden/>
              </w:rPr>
              <w:tab/>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_Toc160797080 \h </w:instrText>
            </w:r>
            <w:r w:rsidR="00931F11" w:rsidRPr="002E196B">
              <w:rPr>
                <w:noProof/>
                <w:webHidden/>
              </w:rPr>
            </w:r>
            <w:r w:rsidR="00931F11" w:rsidRPr="002E196B">
              <w:rPr>
                <w:noProof/>
                <w:webHidden/>
              </w:rPr>
              <w:fldChar w:fldCharType="separate"/>
            </w:r>
            <w:r w:rsidR="0009714B">
              <w:rPr>
                <w:noProof/>
                <w:webHidden/>
              </w:rPr>
              <w:t>6</w:t>
            </w:r>
            <w:r w:rsidR="00931F11" w:rsidRPr="002E196B">
              <w:rPr>
                <w:noProof/>
                <w:webHidden/>
              </w:rPr>
              <w:fldChar w:fldCharType="end"/>
            </w:r>
          </w:hyperlink>
        </w:p>
        <w:p w14:paraId="6763FBA6" w14:textId="77BC8424" w:rsidR="00931F11" w:rsidRPr="002E196B" w:rsidRDefault="00000000" w:rsidP="005D344B">
          <w:pPr>
            <w:pStyle w:val="TOC1"/>
            <w:rPr>
              <w:rFonts w:asciiTheme="minorHAnsi" w:eastAsiaTheme="minorEastAsia" w:hAnsiTheme="minorHAnsi" w:cstheme="minorBidi"/>
              <w:noProof/>
              <w:sz w:val="22"/>
              <w:szCs w:val="22"/>
            </w:rPr>
          </w:pPr>
          <w:hyperlink w:anchor="_Toc160797081" w:history="1">
            <w:r w:rsidR="00931F11" w:rsidRPr="002E196B">
              <w:rPr>
                <w:rStyle w:val="Hyperlink"/>
                <w:noProof/>
              </w:rPr>
              <w:t>6.</w:t>
            </w:r>
            <w:r w:rsidR="00931F11" w:rsidRPr="002E196B">
              <w:rPr>
                <w:rFonts w:asciiTheme="minorHAnsi" w:eastAsiaTheme="minorEastAsia" w:hAnsiTheme="minorHAnsi" w:cstheme="minorBidi"/>
                <w:noProof/>
                <w:sz w:val="22"/>
                <w:szCs w:val="22"/>
              </w:rPr>
              <w:tab/>
            </w:r>
            <w:r w:rsidR="00931F11" w:rsidRPr="002E196B">
              <w:rPr>
                <w:rStyle w:val="Hyperlink"/>
                <w:noProof/>
              </w:rPr>
              <w:t>Example of technical conditions for the use of NGSO earth station in other regions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_Toc160797081 \h </w:instrText>
            </w:r>
            <w:r w:rsidR="00931F11" w:rsidRPr="002E196B">
              <w:rPr>
                <w:noProof/>
                <w:webHidden/>
              </w:rPr>
            </w:r>
            <w:r w:rsidR="00931F11" w:rsidRPr="002E196B">
              <w:rPr>
                <w:noProof/>
                <w:webHidden/>
              </w:rPr>
              <w:fldChar w:fldCharType="separate"/>
            </w:r>
            <w:r w:rsidR="0009714B">
              <w:rPr>
                <w:noProof/>
                <w:webHidden/>
              </w:rPr>
              <w:t>6</w:t>
            </w:r>
            <w:r w:rsidR="00931F11" w:rsidRPr="002E196B">
              <w:rPr>
                <w:noProof/>
                <w:webHidden/>
              </w:rPr>
              <w:fldChar w:fldCharType="end"/>
            </w:r>
          </w:hyperlink>
        </w:p>
        <w:p w14:paraId="01B9F3A3" w14:textId="501FB44F" w:rsidR="00931F11" w:rsidRPr="002E196B" w:rsidRDefault="00000000" w:rsidP="005D344B">
          <w:pPr>
            <w:pStyle w:val="TOC1"/>
            <w:rPr>
              <w:rFonts w:asciiTheme="minorHAnsi" w:eastAsiaTheme="minorEastAsia" w:hAnsiTheme="minorHAnsi" w:cstheme="minorBidi"/>
              <w:noProof/>
              <w:sz w:val="22"/>
              <w:szCs w:val="22"/>
            </w:rPr>
          </w:pPr>
          <w:hyperlink w:anchor="_Toc160797082" w:history="1">
            <w:r w:rsidR="00931F11" w:rsidRPr="002E196B">
              <w:rPr>
                <w:rStyle w:val="Hyperlink"/>
                <w:noProof/>
                <w:lang w:val="de-DE"/>
              </w:rPr>
              <w:t>7.</w:t>
            </w:r>
            <w:r w:rsidR="00931F11" w:rsidRPr="002E196B">
              <w:rPr>
                <w:rFonts w:asciiTheme="minorHAnsi" w:eastAsiaTheme="minorEastAsia" w:hAnsiTheme="minorHAnsi" w:cstheme="minorBidi"/>
                <w:noProof/>
                <w:sz w:val="22"/>
                <w:szCs w:val="22"/>
              </w:rPr>
              <w:tab/>
            </w:r>
            <w:r w:rsidR="00931F11" w:rsidRPr="002E196B">
              <w:rPr>
                <w:rStyle w:val="Hyperlink"/>
                <w:noProof/>
                <w:lang w:val="de-DE"/>
              </w:rPr>
              <w:t>Current Ku Band usage in APT</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_Toc160797082 \h </w:instrText>
            </w:r>
            <w:r w:rsidR="00931F11" w:rsidRPr="002E196B">
              <w:rPr>
                <w:noProof/>
                <w:webHidden/>
              </w:rPr>
            </w:r>
            <w:r w:rsidR="00931F11" w:rsidRPr="002E196B">
              <w:rPr>
                <w:noProof/>
                <w:webHidden/>
              </w:rPr>
              <w:fldChar w:fldCharType="separate"/>
            </w:r>
            <w:r w:rsidR="0009714B">
              <w:rPr>
                <w:noProof/>
                <w:webHidden/>
              </w:rPr>
              <w:t>6</w:t>
            </w:r>
            <w:r w:rsidR="00931F11" w:rsidRPr="002E196B">
              <w:rPr>
                <w:noProof/>
                <w:webHidden/>
              </w:rPr>
              <w:fldChar w:fldCharType="end"/>
            </w:r>
          </w:hyperlink>
        </w:p>
        <w:p w14:paraId="55C47002" w14:textId="5061C1BE" w:rsidR="00931F11" w:rsidRPr="002E196B" w:rsidRDefault="00000000" w:rsidP="005D344B">
          <w:pPr>
            <w:pStyle w:val="TOC1"/>
            <w:rPr>
              <w:rFonts w:asciiTheme="minorHAnsi" w:eastAsiaTheme="minorEastAsia" w:hAnsiTheme="minorHAnsi" w:cstheme="minorBidi"/>
              <w:noProof/>
              <w:sz w:val="22"/>
              <w:szCs w:val="22"/>
            </w:rPr>
          </w:pPr>
          <w:hyperlink w:anchor="_Toc160797083" w:history="1">
            <w:r w:rsidR="00931F11" w:rsidRPr="002E196B">
              <w:rPr>
                <w:rStyle w:val="Hyperlink"/>
                <w:noProof/>
              </w:rPr>
              <w:t>8.</w:t>
            </w:r>
            <w:r w:rsidR="00931F11" w:rsidRPr="002E196B">
              <w:rPr>
                <w:rFonts w:asciiTheme="minorHAnsi" w:eastAsiaTheme="minorEastAsia" w:hAnsiTheme="minorHAnsi" w:cstheme="minorBidi"/>
                <w:noProof/>
                <w:sz w:val="22"/>
                <w:szCs w:val="22"/>
              </w:rPr>
              <w:tab/>
            </w:r>
            <w:r w:rsidR="00931F11" w:rsidRPr="002E196B">
              <w:rPr>
                <w:rStyle w:val="Hyperlink"/>
                <w:noProof/>
              </w:rPr>
              <w:t>Operations of NGSO Earth Station Equipment in the 10.7-12.75 GHz FSS downlink allocation</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_Toc160797083 \h </w:instrText>
            </w:r>
            <w:r w:rsidR="00931F11" w:rsidRPr="002E196B">
              <w:rPr>
                <w:noProof/>
                <w:webHidden/>
              </w:rPr>
            </w:r>
            <w:r w:rsidR="00931F11" w:rsidRPr="002E196B">
              <w:rPr>
                <w:noProof/>
                <w:webHidden/>
              </w:rPr>
              <w:fldChar w:fldCharType="separate"/>
            </w:r>
            <w:r w:rsidR="0009714B">
              <w:rPr>
                <w:noProof/>
                <w:webHidden/>
              </w:rPr>
              <w:t>7</w:t>
            </w:r>
            <w:r w:rsidR="00931F11" w:rsidRPr="002E196B">
              <w:rPr>
                <w:noProof/>
                <w:webHidden/>
              </w:rPr>
              <w:fldChar w:fldCharType="end"/>
            </w:r>
          </w:hyperlink>
        </w:p>
        <w:p w14:paraId="6C09D49E" w14:textId="649582BB" w:rsidR="00931F11" w:rsidRPr="002E196B" w:rsidRDefault="00000000" w:rsidP="005D344B">
          <w:pPr>
            <w:pStyle w:val="TOC1"/>
            <w:rPr>
              <w:rStyle w:val="Hyperlink"/>
              <w:noProof/>
            </w:rPr>
          </w:pPr>
          <w:hyperlink w:anchor="_Toc160797084" w:history="1">
            <w:r w:rsidR="00931F11" w:rsidRPr="002E196B">
              <w:rPr>
                <w:rStyle w:val="Hyperlink"/>
                <w:noProof/>
              </w:rPr>
              <w:t>9.</w:t>
            </w:r>
            <w:r w:rsidR="00931F11" w:rsidRPr="002E196B">
              <w:rPr>
                <w:rFonts w:asciiTheme="minorHAnsi" w:eastAsiaTheme="minorEastAsia" w:hAnsiTheme="minorHAnsi" w:cstheme="minorBidi"/>
                <w:noProof/>
                <w:sz w:val="22"/>
                <w:szCs w:val="22"/>
              </w:rPr>
              <w:tab/>
            </w:r>
            <w:r w:rsidR="00931F11" w:rsidRPr="002E196B">
              <w:rPr>
                <w:rStyle w:val="Hyperlink"/>
                <w:noProof/>
              </w:rPr>
              <w:t>Summary and Conclusions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_Toc160797084 \h </w:instrText>
            </w:r>
            <w:r w:rsidR="00931F11" w:rsidRPr="002E196B">
              <w:rPr>
                <w:noProof/>
                <w:webHidden/>
              </w:rPr>
            </w:r>
            <w:r w:rsidR="00931F11" w:rsidRPr="002E196B">
              <w:rPr>
                <w:noProof/>
                <w:webHidden/>
              </w:rPr>
              <w:fldChar w:fldCharType="separate"/>
            </w:r>
            <w:r w:rsidR="0009714B">
              <w:rPr>
                <w:noProof/>
                <w:webHidden/>
              </w:rPr>
              <w:t>7</w:t>
            </w:r>
            <w:r w:rsidR="00931F11" w:rsidRPr="002E196B">
              <w:rPr>
                <w:noProof/>
                <w:webHidden/>
              </w:rPr>
              <w:fldChar w:fldCharType="end"/>
            </w:r>
          </w:hyperlink>
        </w:p>
        <w:p w14:paraId="046066FB" w14:textId="77777777" w:rsidR="00931F11" w:rsidRPr="002E196B" w:rsidRDefault="00931F11" w:rsidP="00931F11">
          <w:pPr>
            <w:rPr>
              <w:noProof/>
            </w:rPr>
          </w:pPr>
        </w:p>
        <w:p w14:paraId="502EA4B6" w14:textId="2F17DDF2" w:rsidR="00931F11" w:rsidRPr="002E196B" w:rsidRDefault="00000000" w:rsidP="005D344B">
          <w:pPr>
            <w:pStyle w:val="TOC1"/>
            <w:ind w:left="1260" w:hanging="1260"/>
            <w:rPr>
              <w:rFonts w:asciiTheme="minorHAnsi" w:eastAsiaTheme="minorEastAsia" w:hAnsiTheme="minorHAnsi" w:cstheme="minorBidi"/>
              <w:noProof/>
              <w:sz w:val="22"/>
              <w:szCs w:val="22"/>
            </w:rPr>
          </w:pPr>
          <w:hyperlink w:anchor="_Toc160797085" w:history="1">
            <w:r w:rsidR="00931F11" w:rsidRPr="002E196B">
              <w:rPr>
                <w:rStyle w:val="Hyperlink"/>
                <w:noProof/>
              </w:rPr>
              <w:t>ANNEX 1</w:t>
            </w:r>
            <w:r w:rsidR="00931F11" w:rsidRPr="002E196B">
              <w:rPr>
                <w:rFonts w:asciiTheme="minorHAnsi" w:eastAsiaTheme="minorEastAsia" w:hAnsiTheme="minorHAnsi" w:cstheme="minorBidi"/>
                <w:noProof/>
                <w:sz w:val="22"/>
                <w:szCs w:val="22"/>
              </w:rPr>
              <w:tab/>
            </w:r>
            <w:r w:rsidR="00931F11" w:rsidRPr="002E196B">
              <w:rPr>
                <w:rStyle w:val="Hyperlink"/>
                <w:noProof/>
              </w:rPr>
              <w:t>Example of calculations of a specific NGSO Earth Station Terminal EIRP and EIRPsd toward the horizon</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_Toc160797085 \h </w:instrText>
            </w:r>
            <w:r w:rsidR="00931F11" w:rsidRPr="002E196B">
              <w:rPr>
                <w:noProof/>
                <w:webHidden/>
              </w:rPr>
            </w:r>
            <w:r w:rsidR="00931F11" w:rsidRPr="002E196B">
              <w:rPr>
                <w:noProof/>
                <w:webHidden/>
              </w:rPr>
              <w:fldChar w:fldCharType="separate"/>
            </w:r>
            <w:r w:rsidR="0009714B">
              <w:rPr>
                <w:noProof/>
                <w:webHidden/>
              </w:rPr>
              <w:t>8</w:t>
            </w:r>
            <w:r w:rsidR="00931F11" w:rsidRPr="002E196B">
              <w:rPr>
                <w:noProof/>
                <w:webHidden/>
              </w:rPr>
              <w:fldChar w:fldCharType="end"/>
            </w:r>
          </w:hyperlink>
        </w:p>
        <w:p w14:paraId="2871C8F0" w14:textId="6F0035E2" w:rsidR="00931F11" w:rsidRPr="002E196B" w:rsidRDefault="00000000" w:rsidP="005D344B">
          <w:pPr>
            <w:pStyle w:val="TOC1"/>
            <w:ind w:left="1260" w:hanging="1260"/>
            <w:rPr>
              <w:rFonts w:asciiTheme="minorHAnsi" w:eastAsiaTheme="minorEastAsia" w:hAnsiTheme="minorHAnsi" w:cstheme="minorBidi"/>
              <w:noProof/>
              <w:sz w:val="22"/>
              <w:szCs w:val="22"/>
            </w:rPr>
          </w:pPr>
          <w:hyperlink w:anchor="_Toc160797086" w:history="1">
            <w:r w:rsidR="00931F11" w:rsidRPr="002E196B">
              <w:rPr>
                <w:rStyle w:val="Hyperlink"/>
                <w:noProof/>
              </w:rPr>
              <w:t>ANNEX 2</w:t>
            </w:r>
            <w:r w:rsidR="00931F11" w:rsidRPr="002E196B">
              <w:rPr>
                <w:rFonts w:asciiTheme="minorHAnsi" w:eastAsiaTheme="minorEastAsia" w:hAnsiTheme="minorHAnsi" w:cstheme="minorBidi"/>
                <w:noProof/>
                <w:sz w:val="22"/>
                <w:szCs w:val="22"/>
              </w:rPr>
              <w:tab/>
            </w:r>
            <w:r w:rsidR="00931F11" w:rsidRPr="002E196B">
              <w:rPr>
                <w:rStyle w:val="Hyperlink"/>
                <w:noProof/>
              </w:rPr>
              <w:t>Example of calculation of the minimum distances for NGSO Earth Station Terminals installed on ships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_Toc160797086 \h </w:instrText>
            </w:r>
            <w:r w:rsidR="00931F11" w:rsidRPr="002E196B">
              <w:rPr>
                <w:noProof/>
                <w:webHidden/>
              </w:rPr>
            </w:r>
            <w:r w:rsidR="00931F11" w:rsidRPr="002E196B">
              <w:rPr>
                <w:noProof/>
                <w:webHidden/>
              </w:rPr>
              <w:fldChar w:fldCharType="separate"/>
            </w:r>
            <w:r w:rsidR="0009714B">
              <w:rPr>
                <w:noProof/>
                <w:webHidden/>
              </w:rPr>
              <w:t>12</w:t>
            </w:r>
            <w:r w:rsidR="00931F11" w:rsidRPr="002E196B">
              <w:rPr>
                <w:noProof/>
                <w:webHidden/>
              </w:rPr>
              <w:fldChar w:fldCharType="end"/>
            </w:r>
          </w:hyperlink>
        </w:p>
        <w:p w14:paraId="30366B77" w14:textId="1A68AA25" w:rsidR="00931F11" w:rsidRPr="002E196B" w:rsidRDefault="00000000" w:rsidP="005D344B">
          <w:pPr>
            <w:pStyle w:val="TOC1"/>
            <w:rPr>
              <w:rFonts w:asciiTheme="minorHAnsi" w:eastAsiaTheme="minorEastAsia" w:hAnsiTheme="minorHAnsi" w:cstheme="minorBidi"/>
              <w:noProof/>
              <w:sz w:val="22"/>
              <w:szCs w:val="22"/>
            </w:rPr>
          </w:pPr>
          <w:hyperlink w:anchor="_Toc160797087" w:history="1">
            <w:r w:rsidR="00931F11" w:rsidRPr="002E196B">
              <w:rPr>
                <w:rStyle w:val="Hyperlink"/>
                <w:noProof/>
              </w:rPr>
              <w:t>ANNEX 3</w:t>
            </w:r>
            <w:r w:rsidR="00931F11" w:rsidRPr="002E196B">
              <w:rPr>
                <w:rFonts w:asciiTheme="minorHAnsi" w:eastAsiaTheme="minorEastAsia" w:hAnsiTheme="minorHAnsi" w:cstheme="minorBidi"/>
                <w:noProof/>
                <w:sz w:val="22"/>
                <w:szCs w:val="22"/>
              </w:rPr>
              <w:tab/>
            </w:r>
            <w:r w:rsidR="00931F11" w:rsidRPr="002E196B">
              <w:rPr>
                <w:rStyle w:val="Hyperlink"/>
                <w:noProof/>
              </w:rPr>
              <w:t>Technical conditions for NGSO Earth Station terminals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_Toc160797087 \h </w:instrText>
            </w:r>
            <w:r w:rsidR="00931F11" w:rsidRPr="002E196B">
              <w:rPr>
                <w:noProof/>
                <w:webHidden/>
              </w:rPr>
            </w:r>
            <w:r w:rsidR="00931F11" w:rsidRPr="002E196B">
              <w:rPr>
                <w:noProof/>
                <w:webHidden/>
              </w:rPr>
              <w:fldChar w:fldCharType="separate"/>
            </w:r>
            <w:r w:rsidR="0009714B">
              <w:rPr>
                <w:noProof/>
                <w:webHidden/>
              </w:rPr>
              <w:t>13</w:t>
            </w:r>
            <w:r w:rsidR="00931F11" w:rsidRPr="002E196B">
              <w:rPr>
                <w:noProof/>
                <w:webHidden/>
              </w:rPr>
              <w:fldChar w:fldCharType="end"/>
            </w:r>
          </w:hyperlink>
        </w:p>
        <w:p w14:paraId="2E935E22" w14:textId="32C58AA0" w:rsidR="001E78C4" w:rsidRPr="002E196B" w:rsidRDefault="001E78C4">
          <w:r w:rsidRPr="002E196B">
            <w:rPr>
              <w:b/>
              <w:bCs/>
              <w:noProof/>
            </w:rPr>
            <w:fldChar w:fldCharType="end"/>
          </w:r>
        </w:p>
      </w:sdtContent>
    </w:sdt>
    <w:p w14:paraId="7CBEA79E" w14:textId="77777777" w:rsidR="001E78C4" w:rsidRDefault="001E78C4" w:rsidP="00552D30">
      <w:pPr>
        <w:jc w:val="center"/>
        <w:rPr>
          <w:b/>
          <w:caps/>
          <w:sz w:val="28"/>
          <w:szCs w:val="28"/>
        </w:rPr>
      </w:pPr>
    </w:p>
    <w:p w14:paraId="4DBF61FC" w14:textId="77777777" w:rsidR="0009714B" w:rsidRDefault="0009714B" w:rsidP="00552D30">
      <w:pPr>
        <w:jc w:val="center"/>
        <w:rPr>
          <w:b/>
          <w:caps/>
          <w:sz w:val="28"/>
          <w:szCs w:val="28"/>
        </w:rPr>
      </w:pPr>
    </w:p>
    <w:p w14:paraId="34B57940" w14:textId="77777777" w:rsidR="0009714B" w:rsidRDefault="0009714B" w:rsidP="00552D30">
      <w:pPr>
        <w:jc w:val="center"/>
        <w:rPr>
          <w:b/>
          <w:caps/>
          <w:sz w:val="28"/>
          <w:szCs w:val="28"/>
        </w:rPr>
      </w:pPr>
    </w:p>
    <w:p w14:paraId="7CF40C60" w14:textId="77777777" w:rsidR="0009714B" w:rsidRDefault="0009714B" w:rsidP="00552D30">
      <w:pPr>
        <w:jc w:val="center"/>
        <w:rPr>
          <w:b/>
          <w:caps/>
          <w:sz w:val="28"/>
          <w:szCs w:val="28"/>
        </w:rPr>
      </w:pPr>
    </w:p>
    <w:p w14:paraId="4F3A90E3" w14:textId="77777777" w:rsidR="0009714B" w:rsidRDefault="0009714B" w:rsidP="00552D30">
      <w:pPr>
        <w:jc w:val="center"/>
        <w:rPr>
          <w:b/>
          <w:caps/>
          <w:sz w:val="28"/>
          <w:szCs w:val="28"/>
        </w:rPr>
      </w:pPr>
    </w:p>
    <w:p w14:paraId="1FC2CCA4" w14:textId="77777777" w:rsidR="0009714B" w:rsidRDefault="0009714B" w:rsidP="00552D30">
      <w:pPr>
        <w:jc w:val="center"/>
        <w:rPr>
          <w:b/>
          <w:caps/>
          <w:sz w:val="28"/>
          <w:szCs w:val="28"/>
        </w:rPr>
      </w:pPr>
    </w:p>
    <w:p w14:paraId="3186FC85" w14:textId="77777777" w:rsidR="0009714B" w:rsidRDefault="0009714B" w:rsidP="00552D30">
      <w:pPr>
        <w:jc w:val="center"/>
        <w:rPr>
          <w:b/>
          <w:caps/>
          <w:sz w:val="28"/>
          <w:szCs w:val="28"/>
        </w:rPr>
      </w:pPr>
    </w:p>
    <w:p w14:paraId="45EAA8B3" w14:textId="77777777" w:rsidR="0009714B" w:rsidRPr="002E196B" w:rsidRDefault="0009714B" w:rsidP="00552D30">
      <w:pPr>
        <w:jc w:val="center"/>
        <w:rPr>
          <w:b/>
          <w:caps/>
          <w:sz w:val="28"/>
          <w:szCs w:val="28"/>
        </w:rPr>
      </w:pPr>
    </w:p>
    <w:p w14:paraId="561B8F8C" w14:textId="77777777" w:rsidR="005C67DA" w:rsidRPr="002E196B" w:rsidRDefault="005C67DA" w:rsidP="008D4FB3">
      <w:pPr>
        <w:pStyle w:val="Header1"/>
      </w:pPr>
      <w:bookmarkStart w:id="0" w:name="_Toc160797071"/>
      <w:r w:rsidRPr="002E196B">
        <w:lastRenderedPageBreak/>
        <w:t>Introduction</w:t>
      </w:r>
      <w:bookmarkEnd w:id="0"/>
    </w:p>
    <w:p w14:paraId="5851B27B" w14:textId="7BC2AFA8" w:rsidR="005C67DA" w:rsidRPr="002E196B" w:rsidRDefault="005C67DA" w:rsidP="008D4FB3">
      <w:pPr>
        <w:jc w:val="both"/>
        <w:rPr>
          <w:bCs/>
          <w:lang w:val="en-NZ"/>
        </w:rPr>
      </w:pPr>
      <w:r w:rsidRPr="002E196B">
        <w:rPr>
          <w:bCs/>
          <w:lang w:val="en-NZ"/>
        </w:rPr>
        <w:t>Interest in large constellations of Low Earth Orbit (LEOs) satellites started in the 1990’s. Since 2014 such constellations have gradually been brought into use</w:t>
      </w:r>
      <w:r w:rsidR="001129CE" w:rsidRPr="002E196B">
        <w:rPr>
          <w:bCs/>
          <w:lang w:val="en-NZ"/>
        </w:rPr>
        <w:t>.</w:t>
      </w:r>
      <w:r w:rsidRPr="002E196B">
        <w:rPr>
          <w:bCs/>
          <w:lang w:val="en-NZ"/>
        </w:rPr>
        <w:t xml:space="preserve"> Furthermore, LEO constellation systems will be used to bring broadband connectivity to end users on the move</w:t>
      </w:r>
      <w:r w:rsidR="001129CE" w:rsidRPr="002E196B">
        <w:rPr>
          <w:bCs/>
          <w:lang w:val="en-NZ"/>
        </w:rPr>
        <w:t>, including maritime and aviation.</w:t>
      </w:r>
      <w:r w:rsidRPr="002E196B">
        <w:rPr>
          <w:bCs/>
          <w:lang w:val="en-NZ"/>
        </w:rPr>
        <w:t xml:space="preserve"> </w:t>
      </w:r>
    </w:p>
    <w:p w14:paraId="3CA76C9D" w14:textId="77777777" w:rsidR="008D4FB3" w:rsidRPr="002E196B" w:rsidRDefault="008D4FB3" w:rsidP="008D4FB3">
      <w:pPr>
        <w:jc w:val="both"/>
        <w:rPr>
          <w:bCs/>
          <w:lang w:val="en-NZ"/>
        </w:rPr>
      </w:pPr>
    </w:p>
    <w:p w14:paraId="134952FF" w14:textId="75185780" w:rsidR="005C67DA" w:rsidRPr="002E196B" w:rsidRDefault="005C67DA" w:rsidP="008D4FB3">
      <w:pPr>
        <w:jc w:val="both"/>
        <w:rPr>
          <w:bCs/>
          <w:lang w:val="en-NZ"/>
        </w:rPr>
      </w:pPr>
      <w:r w:rsidRPr="002E196B">
        <w:rPr>
          <w:bCs/>
        </w:rPr>
        <w:t>This APT Report</w:t>
      </w:r>
      <w:r w:rsidR="002B38E7" w:rsidRPr="002E196B">
        <w:rPr>
          <w:bCs/>
        </w:rPr>
        <w:t xml:space="preserve"> </w:t>
      </w:r>
      <w:r w:rsidR="001129CE" w:rsidRPr="002E196B">
        <w:rPr>
          <w:bCs/>
        </w:rPr>
        <w:t>aims to provide new</w:t>
      </w:r>
      <w:r w:rsidR="002B38E7" w:rsidRPr="002E196B">
        <w:rPr>
          <w:bCs/>
        </w:rPr>
        <w:t xml:space="preserve"> inform</w:t>
      </w:r>
      <w:r w:rsidR="001129CE" w:rsidRPr="002E196B">
        <w:rPr>
          <w:bCs/>
        </w:rPr>
        <w:t xml:space="preserve">ation </w:t>
      </w:r>
      <w:r w:rsidR="0050493A" w:rsidRPr="002E196B">
        <w:rPr>
          <w:bCs/>
        </w:rPr>
        <w:t>about latest</w:t>
      </w:r>
      <w:r w:rsidR="002B38E7" w:rsidRPr="002E196B">
        <w:rPr>
          <w:bCs/>
        </w:rPr>
        <w:t xml:space="preserve"> system and </w:t>
      </w:r>
      <w:r w:rsidR="007D297F" w:rsidRPr="002E196B">
        <w:rPr>
          <w:bCs/>
        </w:rPr>
        <w:t xml:space="preserve">specific </w:t>
      </w:r>
      <w:r w:rsidR="002B38E7" w:rsidRPr="002E196B">
        <w:rPr>
          <w:bCs/>
          <w:lang w:val="en-NZ"/>
        </w:rPr>
        <w:t>operational</w:t>
      </w:r>
      <w:r w:rsidR="002B38E7" w:rsidRPr="002E196B">
        <w:rPr>
          <w:bCs/>
        </w:rPr>
        <w:t xml:space="preserve"> characteristics</w:t>
      </w:r>
      <w:r w:rsidR="001129CE" w:rsidRPr="002E196B">
        <w:rPr>
          <w:bCs/>
        </w:rPr>
        <w:t xml:space="preserve"> </w:t>
      </w:r>
      <w:r w:rsidR="00DB2792" w:rsidRPr="002E196B">
        <w:rPr>
          <w:bCs/>
        </w:rPr>
        <w:t xml:space="preserve">available in </w:t>
      </w:r>
      <w:r w:rsidR="001B76D5" w:rsidRPr="002E196B">
        <w:rPr>
          <w:bCs/>
        </w:rPr>
        <w:t xml:space="preserve">the </w:t>
      </w:r>
      <w:r w:rsidR="000E2DA1" w:rsidRPr="002E196B">
        <w:rPr>
          <w:bCs/>
        </w:rPr>
        <w:t xml:space="preserve">ECC </w:t>
      </w:r>
      <w:r w:rsidR="001B76D5" w:rsidRPr="002E196B">
        <w:rPr>
          <w:bCs/>
        </w:rPr>
        <w:t xml:space="preserve">Report </w:t>
      </w:r>
      <w:r w:rsidR="00895F5A" w:rsidRPr="002E196B">
        <w:rPr>
          <w:bCs/>
        </w:rPr>
        <w:t>271</w:t>
      </w:r>
      <w:r w:rsidR="00895F5A" w:rsidRPr="002E196B">
        <w:rPr>
          <w:rStyle w:val="FootnoteReference"/>
          <w:bCs/>
        </w:rPr>
        <w:footnoteReference w:id="2"/>
      </w:r>
      <w:r w:rsidR="00895F5A" w:rsidRPr="002E196B">
        <w:rPr>
          <w:bCs/>
        </w:rPr>
        <w:t xml:space="preserve"> </w:t>
      </w:r>
      <w:r w:rsidR="001B76D5" w:rsidRPr="002E196B">
        <w:rPr>
          <w:bCs/>
        </w:rPr>
        <w:t xml:space="preserve">for </w:t>
      </w:r>
      <w:r w:rsidR="00DB2792" w:rsidRPr="002E196B">
        <w:rPr>
          <w:bCs/>
        </w:rPr>
        <w:t xml:space="preserve">newer </w:t>
      </w:r>
      <w:r w:rsidR="001129CE" w:rsidRPr="002E196B">
        <w:rPr>
          <w:bCs/>
        </w:rPr>
        <w:t>NGSO FSS Earth Stations. It does so</w:t>
      </w:r>
      <w:r w:rsidR="002B38E7" w:rsidRPr="002E196B">
        <w:rPr>
          <w:bCs/>
        </w:rPr>
        <w:t xml:space="preserve"> </w:t>
      </w:r>
      <w:r w:rsidR="001129CE" w:rsidRPr="002E196B">
        <w:rPr>
          <w:bCs/>
        </w:rPr>
        <w:t>through examining</w:t>
      </w:r>
      <w:r w:rsidR="002B38E7" w:rsidRPr="002E196B">
        <w:rPr>
          <w:bCs/>
        </w:rPr>
        <w:t xml:space="preserve"> </w:t>
      </w:r>
      <w:r w:rsidR="001129CE" w:rsidRPr="002E196B">
        <w:rPr>
          <w:bCs/>
        </w:rPr>
        <w:t xml:space="preserve">a </w:t>
      </w:r>
      <w:r w:rsidR="009D58D0" w:rsidRPr="002E196B">
        <w:t>specific</w:t>
      </w:r>
      <w:r w:rsidR="009D58D0" w:rsidRPr="002E196B">
        <w:rPr>
          <w:b/>
          <w:bCs/>
        </w:rPr>
        <w:t xml:space="preserve"> </w:t>
      </w:r>
      <w:r w:rsidR="00D914F7" w:rsidRPr="002E196B">
        <w:rPr>
          <w:bCs/>
        </w:rPr>
        <w:t xml:space="preserve">NGSO </w:t>
      </w:r>
      <w:r w:rsidR="002B38E7" w:rsidRPr="002E196B">
        <w:rPr>
          <w:bCs/>
        </w:rPr>
        <w:t>FSS Earth station</w:t>
      </w:r>
      <w:r w:rsidR="007D297F" w:rsidRPr="002E196B">
        <w:rPr>
          <w:bCs/>
        </w:rPr>
        <w:t xml:space="preserve">, with selected parameters in the scope provided by </w:t>
      </w:r>
      <w:r w:rsidR="006718B1" w:rsidRPr="002E196B">
        <w:rPr>
          <w:bCs/>
        </w:rPr>
        <w:t>the same report</w:t>
      </w:r>
      <w:r w:rsidR="002B38E7" w:rsidRPr="002E196B">
        <w:rPr>
          <w:bCs/>
        </w:rPr>
        <w:t xml:space="preserve"> on </w:t>
      </w:r>
      <w:r w:rsidR="009500D0" w:rsidRPr="002E196B">
        <w:rPr>
          <w:bCs/>
        </w:rPr>
        <w:t>vessels</w:t>
      </w:r>
      <w:r w:rsidR="002B38E7" w:rsidRPr="002E196B">
        <w:rPr>
          <w:bCs/>
        </w:rPr>
        <w:t xml:space="preserve"> and aircraft operating in the frequency bands 10.7-12.75 </w:t>
      </w:r>
      <w:r w:rsidR="002B38E7" w:rsidRPr="002E196B">
        <w:rPr>
          <w:bCs/>
          <w:lang w:val="en-NZ"/>
        </w:rPr>
        <w:t>GHz (space-to-Earth) and 14-14.5 GHz (Earth-to-space</w:t>
      </w:r>
      <w:r w:rsidR="00F33318" w:rsidRPr="002E196B">
        <w:rPr>
          <w:bCs/>
          <w:lang w:val="en-NZ"/>
        </w:rPr>
        <w:t>).</w:t>
      </w:r>
    </w:p>
    <w:p w14:paraId="70F316B1" w14:textId="77777777" w:rsidR="008809DC" w:rsidRPr="002E196B" w:rsidRDefault="008809DC" w:rsidP="008D4FB3">
      <w:pPr>
        <w:jc w:val="both"/>
        <w:rPr>
          <w:bCs/>
          <w:lang w:val="en-NZ"/>
        </w:rPr>
      </w:pPr>
    </w:p>
    <w:p w14:paraId="38BA7B4A" w14:textId="77777777" w:rsidR="005C67DA" w:rsidRPr="002E196B" w:rsidRDefault="005C67DA" w:rsidP="00B6196A">
      <w:pPr>
        <w:pStyle w:val="Header1"/>
        <w:ind w:left="432" w:hanging="432"/>
      </w:pPr>
      <w:bookmarkStart w:id="1" w:name="_Toc160797072"/>
      <w:r w:rsidRPr="002E196B">
        <w:t>Scope</w:t>
      </w:r>
      <w:bookmarkEnd w:id="1"/>
    </w:p>
    <w:p w14:paraId="3542E8B4" w14:textId="0F7D209A" w:rsidR="005C67DA" w:rsidRPr="002E196B" w:rsidRDefault="005C67DA" w:rsidP="008D4FB3">
      <w:pPr>
        <w:jc w:val="both"/>
        <w:rPr>
          <w:bCs/>
          <w:lang w:val="en-NZ"/>
        </w:rPr>
      </w:pPr>
      <w:r w:rsidRPr="002E196B">
        <w:rPr>
          <w:bCs/>
          <w:lang w:val="en-NZ"/>
        </w:rPr>
        <w:t xml:space="preserve">This APT Report addresses the characteristics and capability of </w:t>
      </w:r>
      <w:r w:rsidR="001129CE" w:rsidRPr="002E196B">
        <w:rPr>
          <w:bCs/>
          <w:lang w:val="en-NZ"/>
        </w:rPr>
        <w:t xml:space="preserve">a </w:t>
      </w:r>
      <w:r w:rsidR="009D58D0" w:rsidRPr="002E196B">
        <w:t>specific</w:t>
      </w:r>
      <w:r w:rsidR="009D58D0" w:rsidRPr="002E196B">
        <w:rPr>
          <w:b/>
          <w:bCs/>
        </w:rPr>
        <w:t xml:space="preserve"> </w:t>
      </w:r>
      <w:r w:rsidR="00541F31" w:rsidRPr="002E196B">
        <w:rPr>
          <w:bCs/>
          <w:lang w:val="en-NZ"/>
        </w:rPr>
        <w:t xml:space="preserve">NGSO </w:t>
      </w:r>
      <w:r w:rsidRPr="002E196B">
        <w:rPr>
          <w:bCs/>
          <w:lang w:val="en-NZ"/>
        </w:rPr>
        <w:t xml:space="preserve">terminal, which </w:t>
      </w:r>
      <w:r w:rsidR="00D914F7" w:rsidRPr="002E196B">
        <w:rPr>
          <w:bCs/>
          <w:lang w:val="en-NZ"/>
        </w:rPr>
        <w:t xml:space="preserve">is </w:t>
      </w:r>
      <w:r w:rsidRPr="002E196B">
        <w:rPr>
          <w:bCs/>
          <w:lang w:val="en-NZ"/>
        </w:rPr>
        <w:t>refer</w:t>
      </w:r>
      <w:r w:rsidR="00DB2792" w:rsidRPr="002E196B">
        <w:rPr>
          <w:bCs/>
          <w:lang w:val="en-NZ"/>
        </w:rPr>
        <w:t>red</w:t>
      </w:r>
      <w:r w:rsidRPr="002E196B">
        <w:rPr>
          <w:bCs/>
          <w:lang w:val="en-NZ"/>
        </w:rPr>
        <w:t xml:space="preserve"> to as </w:t>
      </w:r>
      <w:r w:rsidR="009D58D0" w:rsidRPr="002E196B">
        <w:rPr>
          <w:i/>
          <w:iCs/>
        </w:rPr>
        <w:t>specific</w:t>
      </w:r>
      <w:r w:rsidR="009D58D0" w:rsidRPr="002E196B">
        <w:rPr>
          <w:b/>
          <w:bCs/>
        </w:rPr>
        <w:t xml:space="preserve"> </w:t>
      </w:r>
      <w:r w:rsidRPr="002E196B">
        <w:rPr>
          <w:bCs/>
          <w:i/>
          <w:iCs/>
          <w:lang w:val="en-NZ"/>
        </w:rPr>
        <w:t>NGSO Earth Station Terminal</w:t>
      </w:r>
      <w:r w:rsidRPr="002E196B">
        <w:rPr>
          <w:bCs/>
          <w:lang w:val="en-NZ"/>
        </w:rPr>
        <w:t xml:space="preserve"> </w:t>
      </w:r>
      <w:r w:rsidR="00DB2792" w:rsidRPr="002E196B">
        <w:rPr>
          <w:bCs/>
          <w:lang w:val="en-NZ"/>
        </w:rPr>
        <w:t>for</w:t>
      </w:r>
      <w:r w:rsidRPr="002E196B">
        <w:rPr>
          <w:bCs/>
          <w:lang w:val="en-NZ"/>
        </w:rPr>
        <w:t xml:space="preserve"> applications on land (fixed or mobile), </w:t>
      </w:r>
      <w:r w:rsidR="00065832" w:rsidRPr="002E196B">
        <w:rPr>
          <w:bCs/>
          <w:lang w:val="en-NZ"/>
        </w:rPr>
        <w:t xml:space="preserve">and on </w:t>
      </w:r>
      <w:r w:rsidRPr="002E196B">
        <w:rPr>
          <w:bCs/>
          <w:lang w:val="en-NZ"/>
        </w:rPr>
        <w:t>aircraft</w:t>
      </w:r>
      <w:r w:rsidR="001E1233" w:rsidRPr="002E196B">
        <w:rPr>
          <w:bCs/>
          <w:lang w:val="en-NZ"/>
        </w:rPr>
        <w:t>s</w:t>
      </w:r>
      <w:r w:rsidRPr="002E196B">
        <w:rPr>
          <w:bCs/>
          <w:lang w:val="en-NZ"/>
        </w:rPr>
        <w:t xml:space="preserve"> or ships, using frequency bands allocated to Fixed Satellite Service (FSS) in Ku band</w:t>
      </w:r>
      <w:r w:rsidR="00D914F7" w:rsidRPr="002E196B">
        <w:rPr>
          <w:bCs/>
          <w:lang w:val="en-NZ"/>
        </w:rPr>
        <w:t>. I</w:t>
      </w:r>
      <w:r w:rsidRPr="002E196B">
        <w:rPr>
          <w:bCs/>
          <w:lang w:val="en-NZ"/>
        </w:rPr>
        <w:t>n this APT Report, Ku-band covers the frequency ranges 10.7-12.75 GHz and 14.0</w:t>
      </w:r>
      <w:r w:rsidR="00EA44E0" w:rsidRPr="002E196B">
        <w:rPr>
          <w:bCs/>
          <w:lang w:val="en-NZ"/>
        </w:rPr>
        <w:t>-</w:t>
      </w:r>
      <w:r w:rsidRPr="002E196B">
        <w:rPr>
          <w:bCs/>
          <w:lang w:val="en-NZ"/>
        </w:rPr>
        <w:t>14.5 GHz.</w:t>
      </w:r>
    </w:p>
    <w:p w14:paraId="12976D7B" w14:textId="77777777" w:rsidR="00B6196A" w:rsidRPr="002E196B" w:rsidRDefault="00B6196A" w:rsidP="008F7A69">
      <w:pPr>
        <w:jc w:val="both"/>
        <w:rPr>
          <w:bCs/>
          <w:lang w:val="en-NZ"/>
        </w:rPr>
      </w:pPr>
    </w:p>
    <w:p w14:paraId="7150461B" w14:textId="77777777" w:rsidR="00600BED" w:rsidRPr="002E196B" w:rsidRDefault="00600BED" w:rsidP="008F7A69">
      <w:pPr>
        <w:jc w:val="both"/>
        <w:rPr>
          <w:bCs/>
          <w:lang w:val="en-NZ"/>
        </w:rPr>
      </w:pPr>
    </w:p>
    <w:p w14:paraId="72D569BC" w14:textId="5CA3992C" w:rsidR="00386FE8" w:rsidRPr="002E196B" w:rsidRDefault="00144854" w:rsidP="00386FE8">
      <w:pPr>
        <w:pStyle w:val="Header1"/>
        <w:ind w:left="432" w:hanging="432"/>
      </w:pPr>
      <w:bookmarkStart w:id="2" w:name="_Toc160797073"/>
      <w:r w:rsidRPr="002E196B">
        <w:t>Rel</w:t>
      </w:r>
      <w:r w:rsidR="000E2DA1" w:rsidRPr="002E196B">
        <w:t>e</w:t>
      </w:r>
      <w:r w:rsidRPr="002E196B">
        <w:t xml:space="preserve">vant </w:t>
      </w:r>
      <w:r w:rsidR="00E304A3" w:rsidRPr="002E196B">
        <w:t>ITU Radio R</w:t>
      </w:r>
      <w:r w:rsidR="00FE2653" w:rsidRPr="002E196B">
        <w:t>e</w:t>
      </w:r>
      <w:r w:rsidR="00E304A3" w:rsidRPr="002E196B">
        <w:t>gulation</w:t>
      </w:r>
      <w:r w:rsidR="00FE2653" w:rsidRPr="002E196B">
        <w:t>s</w:t>
      </w:r>
      <w:r w:rsidR="007A6007" w:rsidRPr="002E196B">
        <w:t xml:space="preserve"> in the frequency bands</w:t>
      </w:r>
      <w:bookmarkEnd w:id="2"/>
    </w:p>
    <w:p w14:paraId="6054C202" w14:textId="0232FCB1" w:rsidR="0081172C" w:rsidRPr="002E196B" w:rsidRDefault="0081172C" w:rsidP="00EA3185">
      <w:pPr>
        <w:jc w:val="both"/>
      </w:pPr>
      <w:r w:rsidRPr="002E196B">
        <w:t>In accordance with the Radio Regulations (</w:t>
      </w:r>
      <w:r w:rsidR="00B86B7A" w:rsidRPr="002E196B">
        <w:t>2024</w:t>
      </w:r>
      <w:r w:rsidRPr="002E196B">
        <w:t xml:space="preserve">), </w:t>
      </w:r>
    </w:p>
    <w:p w14:paraId="0493A1BC" w14:textId="60EF8882" w:rsidR="005C67DA" w:rsidRPr="002E196B" w:rsidRDefault="005C67DA" w:rsidP="00425190">
      <w:pPr>
        <w:pStyle w:val="ListParagraph"/>
        <w:numPr>
          <w:ilvl w:val="0"/>
          <w:numId w:val="15"/>
        </w:numPr>
        <w:jc w:val="both"/>
      </w:pPr>
      <w:r w:rsidRPr="002E196B">
        <w:t xml:space="preserve">In frequencies 14.0-14.5 GHz, there is a primary allocation for the FSS and a secondary allocation for Mobile Satellite Service (MSS).  </w:t>
      </w:r>
    </w:p>
    <w:p w14:paraId="386672B3" w14:textId="77777777" w:rsidR="005D703B" w:rsidRPr="002E196B" w:rsidRDefault="005D703B" w:rsidP="00425190">
      <w:pPr>
        <w:pStyle w:val="ListParagraph"/>
        <w:numPr>
          <w:ilvl w:val="0"/>
          <w:numId w:val="15"/>
        </w:numPr>
        <w:jc w:val="both"/>
        <w:rPr>
          <w:rFonts w:eastAsia="SimSun"/>
          <w:lang w:eastAsia="zh-CN"/>
        </w:rPr>
      </w:pPr>
      <w:r w:rsidRPr="002E196B">
        <w:rPr>
          <w:rFonts w:eastAsia="SimSun"/>
          <w:lang w:eastAsia="zh-CN"/>
        </w:rPr>
        <w:t xml:space="preserve">In frequencies 14-14.3 GHz, there is a primary allocation for RADIONAVIGATION. </w:t>
      </w:r>
    </w:p>
    <w:p w14:paraId="4D4B0E19" w14:textId="51D961E0" w:rsidR="005D703B" w:rsidRPr="002E196B" w:rsidRDefault="005D703B" w:rsidP="00425190">
      <w:pPr>
        <w:pStyle w:val="ListParagraph"/>
        <w:numPr>
          <w:ilvl w:val="0"/>
          <w:numId w:val="15"/>
        </w:numPr>
        <w:jc w:val="both"/>
        <w:rPr>
          <w:rFonts w:eastAsia="SimSun"/>
          <w:lang w:eastAsia="zh-CN"/>
        </w:rPr>
      </w:pPr>
      <w:r w:rsidRPr="002E196B">
        <w:rPr>
          <w:rFonts w:eastAsia="SimSun"/>
          <w:lang w:eastAsia="zh-CN"/>
        </w:rPr>
        <w:t>In frequencies 14.3-14.4 GHz, there are primary allocations for FIX</w:t>
      </w:r>
      <w:r w:rsidR="00600BED" w:rsidRPr="002E196B">
        <w:rPr>
          <w:rFonts w:eastAsia="SimSun"/>
          <w:lang w:eastAsia="zh-CN"/>
        </w:rPr>
        <w:t>ED</w:t>
      </w:r>
      <w:r w:rsidRPr="002E196B">
        <w:rPr>
          <w:rFonts w:eastAsia="SimSun"/>
          <w:lang w:eastAsia="zh-CN"/>
        </w:rPr>
        <w:t xml:space="preserve"> and MOBILE</w:t>
      </w:r>
      <w:r w:rsidR="00AE3534" w:rsidRPr="002E196B">
        <w:rPr>
          <w:rFonts w:eastAsia="SimSun"/>
          <w:lang w:eastAsia="zh-CN"/>
        </w:rPr>
        <w:t xml:space="preserve"> </w:t>
      </w:r>
      <w:r w:rsidRPr="002E196B">
        <w:rPr>
          <w:rFonts w:eastAsia="SimSun"/>
          <w:lang w:eastAsia="zh-CN"/>
        </w:rPr>
        <w:t>(Region</w:t>
      </w:r>
      <w:r w:rsidR="00600BED" w:rsidRPr="002E196B">
        <w:rPr>
          <w:rFonts w:eastAsia="SimSun"/>
          <w:lang w:eastAsia="zh-CN"/>
        </w:rPr>
        <w:t>s</w:t>
      </w:r>
      <w:r w:rsidRPr="002E196B">
        <w:rPr>
          <w:rFonts w:eastAsia="SimSun"/>
          <w:lang w:eastAsia="zh-CN"/>
        </w:rPr>
        <w:t xml:space="preserve"> 1</w:t>
      </w:r>
      <w:r w:rsidR="004C2555" w:rsidRPr="002E196B">
        <w:rPr>
          <w:rFonts w:eastAsia="SimSun"/>
          <w:lang w:eastAsia="zh-CN"/>
        </w:rPr>
        <w:t xml:space="preserve"> and </w:t>
      </w:r>
      <w:r w:rsidRPr="002E196B">
        <w:rPr>
          <w:rFonts w:eastAsia="SimSun"/>
          <w:lang w:eastAsia="zh-CN"/>
        </w:rPr>
        <w:t xml:space="preserve">3). </w:t>
      </w:r>
    </w:p>
    <w:p w14:paraId="5368C373" w14:textId="5F71C864" w:rsidR="005D703B" w:rsidRPr="002E196B" w:rsidRDefault="005D703B" w:rsidP="00425190">
      <w:pPr>
        <w:pStyle w:val="ListParagraph"/>
        <w:numPr>
          <w:ilvl w:val="0"/>
          <w:numId w:val="15"/>
        </w:numPr>
        <w:jc w:val="both"/>
        <w:rPr>
          <w:rFonts w:eastAsia="SimSun"/>
          <w:lang w:eastAsia="zh-CN"/>
        </w:rPr>
      </w:pPr>
      <w:r w:rsidRPr="002E196B">
        <w:rPr>
          <w:rFonts w:eastAsia="SimSun"/>
          <w:lang w:eastAsia="zh-CN"/>
        </w:rPr>
        <w:t xml:space="preserve">In </w:t>
      </w:r>
      <w:r w:rsidRPr="002E196B">
        <w:t>frequencies</w:t>
      </w:r>
      <w:r w:rsidRPr="002E196B">
        <w:rPr>
          <w:rFonts w:eastAsia="SimSun"/>
          <w:lang w:eastAsia="zh-CN"/>
        </w:rPr>
        <w:t xml:space="preserve"> 14.4-14.5 GHz, there are primary allocations for FIX</w:t>
      </w:r>
      <w:r w:rsidR="00600BED" w:rsidRPr="002E196B">
        <w:rPr>
          <w:rFonts w:eastAsia="SimSun"/>
          <w:lang w:eastAsia="zh-CN"/>
        </w:rPr>
        <w:t>ED</w:t>
      </w:r>
      <w:r w:rsidRPr="002E196B">
        <w:rPr>
          <w:rFonts w:eastAsia="SimSun"/>
          <w:lang w:eastAsia="zh-CN"/>
        </w:rPr>
        <w:t xml:space="preserve"> and MOBILE</w:t>
      </w:r>
      <w:r w:rsidR="00AE3534" w:rsidRPr="002E196B">
        <w:rPr>
          <w:rFonts w:eastAsia="SimSun"/>
          <w:lang w:eastAsia="zh-CN"/>
        </w:rPr>
        <w:t xml:space="preserve"> </w:t>
      </w:r>
      <w:r w:rsidRPr="002E196B">
        <w:rPr>
          <w:rFonts w:eastAsia="SimSun"/>
          <w:lang w:eastAsia="zh-CN"/>
        </w:rPr>
        <w:t xml:space="preserve">(globally). </w:t>
      </w:r>
    </w:p>
    <w:p w14:paraId="44204FC7" w14:textId="77777777" w:rsidR="00C32C2B" w:rsidRDefault="00C32C2B" w:rsidP="009D58D0">
      <w:pPr>
        <w:jc w:val="both"/>
        <w:rPr>
          <w:rFonts w:eastAsia="SimSun"/>
          <w:lang w:eastAsia="zh-CN"/>
        </w:rPr>
      </w:pPr>
    </w:p>
    <w:p w14:paraId="58CBE26A" w14:textId="75471C94" w:rsidR="005D703B" w:rsidRPr="002E196B" w:rsidRDefault="00F53891" w:rsidP="009D58D0">
      <w:pPr>
        <w:jc w:val="both"/>
        <w:rPr>
          <w:rFonts w:eastAsia="SimSun"/>
          <w:lang w:eastAsia="zh-CN"/>
        </w:rPr>
      </w:pPr>
      <w:r w:rsidRPr="002E196B">
        <w:rPr>
          <w:rFonts w:eastAsia="SimSun"/>
          <w:lang w:eastAsia="zh-CN"/>
        </w:rPr>
        <w:t>T</w:t>
      </w:r>
      <w:r w:rsidR="005D703B" w:rsidRPr="002E196B">
        <w:rPr>
          <w:rFonts w:eastAsia="SimSun"/>
          <w:lang w:eastAsia="zh-CN"/>
        </w:rPr>
        <w:t xml:space="preserve">he </w:t>
      </w:r>
      <w:r w:rsidR="005D703B" w:rsidRPr="002E196B">
        <w:t>footnotes</w:t>
      </w:r>
      <w:r w:rsidR="005D703B" w:rsidRPr="002E196B">
        <w:rPr>
          <w:rFonts w:eastAsia="SimSun"/>
          <w:lang w:eastAsia="zh-CN"/>
        </w:rPr>
        <w:t xml:space="preserve"> </w:t>
      </w:r>
      <w:r w:rsidRPr="002E196B">
        <w:rPr>
          <w:rFonts w:eastAsia="SimSun"/>
          <w:lang w:eastAsia="zh-CN"/>
        </w:rPr>
        <w:t xml:space="preserve">that apply to </w:t>
      </w:r>
      <w:r w:rsidR="005D703B" w:rsidRPr="002E196B">
        <w:rPr>
          <w:rFonts w:eastAsia="SimSun"/>
          <w:lang w:eastAsia="zh-CN"/>
        </w:rPr>
        <w:t>frequenc</w:t>
      </w:r>
      <w:r w:rsidR="002F5B53" w:rsidRPr="002E196B">
        <w:rPr>
          <w:rFonts w:eastAsia="SimSun"/>
          <w:lang w:eastAsia="zh-CN"/>
        </w:rPr>
        <w:t xml:space="preserve">y ranges </w:t>
      </w:r>
      <w:r w:rsidR="005D703B" w:rsidRPr="002E196B">
        <w:rPr>
          <w:rFonts w:eastAsia="SimSun"/>
          <w:lang w:eastAsia="zh-CN"/>
        </w:rPr>
        <w:t>14-14.5</w:t>
      </w:r>
      <w:r w:rsidR="0081172C" w:rsidRPr="002E196B">
        <w:rPr>
          <w:rFonts w:eastAsia="SimSun"/>
          <w:lang w:eastAsia="zh-CN"/>
        </w:rPr>
        <w:t xml:space="preserve"> </w:t>
      </w:r>
      <w:r w:rsidR="005D703B" w:rsidRPr="002E196B">
        <w:rPr>
          <w:rFonts w:eastAsia="SimSun"/>
          <w:lang w:eastAsia="zh-CN"/>
        </w:rPr>
        <w:t>GHz</w:t>
      </w:r>
      <w:r w:rsidR="002F5B53" w:rsidRPr="002E196B">
        <w:rPr>
          <w:rFonts w:eastAsia="SimSun"/>
          <w:lang w:eastAsia="zh-CN"/>
        </w:rPr>
        <w:t xml:space="preserve"> are </w:t>
      </w:r>
      <w:r w:rsidR="001F7F80" w:rsidRPr="002E196B">
        <w:rPr>
          <w:rFonts w:eastAsia="SimSun"/>
          <w:lang w:eastAsia="zh-CN"/>
        </w:rPr>
        <w:t>No</w:t>
      </w:r>
      <w:r w:rsidR="002F5B53" w:rsidRPr="002E196B">
        <w:rPr>
          <w:rFonts w:eastAsia="SimSun"/>
          <w:lang w:eastAsia="zh-CN"/>
        </w:rPr>
        <w:t>s</w:t>
      </w:r>
      <w:r w:rsidR="001F7F80" w:rsidRPr="002E196B">
        <w:rPr>
          <w:rFonts w:eastAsia="SimSun"/>
          <w:lang w:eastAsia="zh-CN"/>
        </w:rPr>
        <w:t xml:space="preserve">. </w:t>
      </w:r>
      <w:r w:rsidR="001F7F80" w:rsidRPr="002E196B">
        <w:rPr>
          <w:rFonts w:eastAsia="SimSun"/>
          <w:b/>
          <w:bCs/>
          <w:lang w:eastAsia="zh-CN"/>
        </w:rPr>
        <w:t>5.28</w:t>
      </w:r>
      <w:r w:rsidR="001F7F80" w:rsidRPr="002E196B">
        <w:rPr>
          <w:rFonts w:eastAsia="SimSun"/>
          <w:lang w:eastAsia="zh-CN"/>
        </w:rPr>
        <w:t xml:space="preserve">, </w:t>
      </w:r>
      <w:r w:rsidR="002F5B53" w:rsidRPr="002E196B">
        <w:rPr>
          <w:rFonts w:eastAsia="SimSun"/>
          <w:b/>
          <w:bCs/>
          <w:lang w:eastAsia="zh-CN"/>
        </w:rPr>
        <w:t>5.59</w:t>
      </w:r>
      <w:r w:rsidR="002F5B53" w:rsidRPr="002E196B">
        <w:rPr>
          <w:rFonts w:eastAsia="SimSun"/>
          <w:lang w:eastAsia="zh-CN"/>
        </w:rPr>
        <w:t xml:space="preserve">, </w:t>
      </w:r>
      <w:r w:rsidR="004C2555" w:rsidRPr="002E196B">
        <w:rPr>
          <w:rFonts w:eastAsia="SimSun"/>
          <w:b/>
          <w:bCs/>
          <w:lang w:eastAsia="zh-CN"/>
        </w:rPr>
        <w:t>5.30</w:t>
      </w:r>
      <w:r w:rsidR="004C2555" w:rsidRPr="002E196B">
        <w:rPr>
          <w:rFonts w:eastAsia="SimSun"/>
          <w:lang w:eastAsia="zh-CN"/>
        </w:rPr>
        <w:t xml:space="preserve">, </w:t>
      </w:r>
      <w:r w:rsidR="004C2555" w:rsidRPr="002E196B">
        <w:rPr>
          <w:rFonts w:eastAsia="SimSun"/>
          <w:b/>
          <w:bCs/>
          <w:lang w:eastAsia="zh-CN"/>
        </w:rPr>
        <w:t>5.31</w:t>
      </w:r>
      <w:r w:rsidR="004C2555" w:rsidRPr="002E196B">
        <w:rPr>
          <w:rFonts w:eastAsia="SimSun"/>
          <w:lang w:eastAsia="zh-CN"/>
        </w:rPr>
        <w:t xml:space="preserve">, </w:t>
      </w:r>
      <w:r w:rsidR="0081172C" w:rsidRPr="002E196B">
        <w:rPr>
          <w:rFonts w:eastAsia="SimSun"/>
          <w:b/>
          <w:bCs/>
          <w:lang w:eastAsia="zh-CN"/>
        </w:rPr>
        <w:t>5.504A</w:t>
      </w:r>
      <w:r w:rsidR="0081172C" w:rsidRPr="002E196B">
        <w:rPr>
          <w:rFonts w:eastAsia="SimSun"/>
          <w:lang w:eastAsia="zh-CN"/>
        </w:rPr>
        <w:t xml:space="preserve">, </w:t>
      </w:r>
      <w:r w:rsidR="0081172C" w:rsidRPr="002E196B">
        <w:rPr>
          <w:rFonts w:eastAsia="SimSun"/>
          <w:b/>
          <w:bCs/>
          <w:lang w:eastAsia="zh-CN"/>
        </w:rPr>
        <w:t>5.</w:t>
      </w:r>
      <w:r w:rsidR="009D58D0" w:rsidRPr="002E196B">
        <w:rPr>
          <w:rFonts w:eastAsia="SimSun"/>
          <w:b/>
          <w:bCs/>
          <w:lang w:eastAsia="zh-CN"/>
        </w:rPr>
        <w:t>504B</w:t>
      </w:r>
      <w:r w:rsidR="009D58D0" w:rsidRPr="002E196B">
        <w:rPr>
          <w:rFonts w:eastAsia="SimSun"/>
          <w:lang w:eastAsia="zh-CN"/>
        </w:rPr>
        <w:t xml:space="preserve">, </w:t>
      </w:r>
      <w:r w:rsidR="009D58D0" w:rsidRPr="002E196B">
        <w:rPr>
          <w:rFonts w:eastAsia="SimSun"/>
          <w:b/>
          <w:bCs/>
          <w:lang w:eastAsia="zh-CN"/>
        </w:rPr>
        <w:t>5.504C</w:t>
      </w:r>
      <w:r w:rsidR="009D58D0" w:rsidRPr="002E196B">
        <w:rPr>
          <w:rFonts w:eastAsia="SimSun"/>
          <w:lang w:eastAsia="zh-CN"/>
        </w:rPr>
        <w:t xml:space="preserve">, </w:t>
      </w:r>
      <w:r w:rsidR="009D58D0" w:rsidRPr="002E196B">
        <w:rPr>
          <w:rFonts w:eastAsia="SimSun"/>
          <w:b/>
          <w:bCs/>
          <w:lang w:eastAsia="zh-CN"/>
        </w:rPr>
        <w:t>5.506A</w:t>
      </w:r>
      <w:r w:rsidR="009D58D0" w:rsidRPr="002E196B">
        <w:rPr>
          <w:rFonts w:eastAsia="SimSun"/>
          <w:lang w:eastAsia="zh-CN"/>
        </w:rPr>
        <w:t xml:space="preserve">, </w:t>
      </w:r>
      <w:r w:rsidR="009D58D0" w:rsidRPr="002E196B">
        <w:rPr>
          <w:rFonts w:eastAsia="SimSun"/>
          <w:b/>
          <w:bCs/>
          <w:lang w:eastAsia="zh-CN"/>
        </w:rPr>
        <w:t>5.508A</w:t>
      </w:r>
      <w:r w:rsidR="009D58D0" w:rsidRPr="002E196B">
        <w:rPr>
          <w:rFonts w:eastAsia="SimSun"/>
          <w:lang w:eastAsia="zh-CN"/>
        </w:rPr>
        <w:t xml:space="preserve"> and </w:t>
      </w:r>
      <w:r w:rsidR="009D58D0" w:rsidRPr="002E196B">
        <w:rPr>
          <w:rFonts w:eastAsia="SimSun"/>
          <w:b/>
          <w:bCs/>
          <w:lang w:eastAsia="zh-CN"/>
        </w:rPr>
        <w:t>5.509A</w:t>
      </w:r>
      <w:r w:rsidR="009D58D0" w:rsidRPr="002E196B">
        <w:rPr>
          <w:rFonts w:eastAsia="SimSun"/>
          <w:lang w:eastAsia="zh-CN"/>
        </w:rPr>
        <w:t xml:space="preserve"> of the Radio Regulations. </w:t>
      </w:r>
    </w:p>
    <w:p w14:paraId="12DA3176" w14:textId="77777777" w:rsidR="009D58D0" w:rsidRPr="002E196B" w:rsidRDefault="009D58D0" w:rsidP="009D58D0">
      <w:pPr>
        <w:jc w:val="both"/>
        <w:rPr>
          <w:rFonts w:eastAsia="SimSun"/>
          <w:lang w:eastAsia="zh-CN"/>
        </w:rPr>
      </w:pPr>
    </w:p>
    <w:p w14:paraId="6CBFB42D" w14:textId="1ADE601B" w:rsidR="00871256" w:rsidRPr="002E196B" w:rsidRDefault="005C67DA" w:rsidP="008D4FB3">
      <w:pPr>
        <w:jc w:val="both"/>
      </w:pPr>
      <w:r w:rsidRPr="002E196B">
        <w:t>NGSO satellite systems operate under the primary allocation of the FSS (under various footnotes introduced by WRC</w:t>
      </w:r>
      <w:r w:rsidR="008331ED" w:rsidRPr="002E196B">
        <w:t>-</w:t>
      </w:r>
      <w:r w:rsidRPr="002E196B">
        <w:t xml:space="preserve">2000 and </w:t>
      </w:r>
      <w:r w:rsidR="008331ED" w:rsidRPr="002E196B">
        <w:t>WRC-</w:t>
      </w:r>
      <w:r w:rsidR="00114E12" w:rsidRPr="002E196B">
        <w:t>20</w:t>
      </w:r>
      <w:r w:rsidRPr="002E196B">
        <w:t xml:space="preserve">03; i.e., </w:t>
      </w:r>
      <w:r w:rsidR="00D44D9E" w:rsidRPr="002E196B">
        <w:rPr>
          <w:bCs/>
        </w:rPr>
        <w:t>No</w:t>
      </w:r>
      <w:r w:rsidR="00FE2653" w:rsidRPr="002E196B">
        <w:rPr>
          <w:bCs/>
        </w:rPr>
        <w:t>s.</w:t>
      </w:r>
      <w:r w:rsidR="00D44D9E" w:rsidRPr="002E196B">
        <w:rPr>
          <w:b/>
        </w:rPr>
        <w:t xml:space="preserve"> 5.441,</w:t>
      </w:r>
      <w:r w:rsidR="00D44D9E" w:rsidRPr="002E196B">
        <w:t xml:space="preserve"> </w:t>
      </w:r>
      <w:r w:rsidRPr="002E196B">
        <w:rPr>
          <w:b/>
          <w:bCs/>
        </w:rPr>
        <w:t>5.484A</w:t>
      </w:r>
      <w:r w:rsidR="00B32955" w:rsidRPr="002E196B">
        <w:t xml:space="preserve"> and</w:t>
      </w:r>
      <w:r w:rsidRPr="002E196B">
        <w:t xml:space="preserve"> </w:t>
      </w:r>
      <w:r w:rsidRPr="002E196B">
        <w:rPr>
          <w:b/>
          <w:bCs/>
        </w:rPr>
        <w:t>5.487A</w:t>
      </w:r>
      <w:r w:rsidRPr="002E196B">
        <w:t>). Under such premise, the satellite terminals are part of such NGSO systems and are operating under the primary FSS allocation</w:t>
      </w:r>
      <w:r w:rsidR="0076278D" w:rsidRPr="002E196B">
        <w:t xml:space="preserve"> and</w:t>
      </w:r>
      <w:r w:rsidRPr="002E196B">
        <w:t xml:space="preserve"> all the regulatory status associated with the primary allocation. While the land terminals (either fixed, nomadic, or moving), operating within a country, operate on a co-primary basis vis-à-vis the other primary services, there is no specific ITU regulatory provision in </w:t>
      </w:r>
      <w:r w:rsidR="00053CE4" w:rsidRPr="002E196B">
        <w:t xml:space="preserve">the bands considered in this report (10.7-12.75 GHz and 14-14.5 GHz) </w:t>
      </w:r>
      <w:r w:rsidRPr="002E196B">
        <w:t>for operation of NGSO terminals</w:t>
      </w:r>
      <w:r w:rsidR="00617E70" w:rsidRPr="002E196B">
        <w:t xml:space="preserve"> on board of airplanes or ships</w:t>
      </w:r>
      <w:r w:rsidRPr="002E196B">
        <w:t xml:space="preserve">, operating to a satellite </w:t>
      </w:r>
      <w:r w:rsidRPr="002E196B">
        <w:rPr>
          <w:bCs/>
          <w:lang w:val="en-NZ"/>
        </w:rPr>
        <w:t>system</w:t>
      </w:r>
      <w:r w:rsidRPr="002E196B">
        <w:t xml:space="preserve"> in the primary FSS allocation</w:t>
      </w:r>
      <w:r w:rsidR="00053CE4" w:rsidRPr="002E196B">
        <w:t>.</w:t>
      </w:r>
      <w:r w:rsidR="00600BED" w:rsidRPr="002E196B">
        <w:t xml:space="preserve"> </w:t>
      </w:r>
    </w:p>
    <w:p w14:paraId="5BC9CB55" w14:textId="77777777" w:rsidR="00600BED" w:rsidRPr="002E196B" w:rsidRDefault="00600BED" w:rsidP="008D4FB3">
      <w:pPr>
        <w:jc w:val="both"/>
      </w:pPr>
    </w:p>
    <w:p w14:paraId="452AF02E" w14:textId="550891D7" w:rsidR="00B70FFA" w:rsidRPr="002E196B" w:rsidRDefault="00B70FFA" w:rsidP="008D4FB3">
      <w:pPr>
        <w:jc w:val="both"/>
      </w:pPr>
      <w:r w:rsidRPr="002E196B">
        <w:t xml:space="preserve">Resolution </w:t>
      </w:r>
      <w:r w:rsidRPr="002E196B">
        <w:rPr>
          <w:b/>
          <w:bCs/>
        </w:rPr>
        <w:t>902 (Rev.WRC-23)</w:t>
      </w:r>
      <w:r w:rsidRPr="002E196B">
        <w:t xml:space="preserve"> </w:t>
      </w:r>
      <w:r w:rsidR="009724A2" w:rsidRPr="002E196B">
        <w:t xml:space="preserve">may </w:t>
      </w:r>
      <w:r w:rsidR="00EB0C7B" w:rsidRPr="002E196B">
        <w:t xml:space="preserve">apply </w:t>
      </w:r>
      <w:r w:rsidRPr="002E196B">
        <w:t>to both GSO and NGSO FSS.</w:t>
      </w:r>
    </w:p>
    <w:p w14:paraId="3F56AD2E" w14:textId="77777777" w:rsidR="00B70FFA" w:rsidRPr="002E196B" w:rsidRDefault="00B70FFA" w:rsidP="008D4FB3">
      <w:pPr>
        <w:jc w:val="both"/>
      </w:pPr>
    </w:p>
    <w:p w14:paraId="78ED7DF9" w14:textId="77777777" w:rsidR="00C32C2B" w:rsidRDefault="00C32C2B">
      <w:pPr>
        <w:spacing w:after="160" w:line="259" w:lineRule="auto"/>
      </w:pPr>
      <w:r>
        <w:br w:type="page"/>
      </w:r>
    </w:p>
    <w:p w14:paraId="722BCE1A" w14:textId="18686B6A" w:rsidR="005C67DA" w:rsidRPr="002E196B" w:rsidRDefault="00B27E54" w:rsidP="008D4FB3">
      <w:pPr>
        <w:jc w:val="both"/>
      </w:pPr>
      <w:r w:rsidRPr="002E196B">
        <w:lastRenderedPageBreak/>
        <w:t>Firstly</w:t>
      </w:r>
      <w:r w:rsidR="005C67DA" w:rsidRPr="002E196B">
        <w:t xml:space="preserve">, irrespective of the type of NGSO satellite terminals (moving or not), the protection of geostationary satellites networks in the fixed-satellite service and the broadcasting satellite service from unacceptable interference caused by Ku-band NGSO satellite systems is ensured via the </w:t>
      </w:r>
      <w:r w:rsidR="005C67DA" w:rsidRPr="002E196B">
        <w:rPr>
          <w:bCs/>
          <w:lang w:val="en-NZ"/>
        </w:rPr>
        <w:t>applicable</w:t>
      </w:r>
      <w:r w:rsidR="005C67DA" w:rsidRPr="002E196B">
        <w:t xml:space="preserve"> provisions of the ITU Radio Regulations.</w:t>
      </w:r>
      <w:r w:rsidR="00C03867" w:rsidRPr="002E196B">
        <w:t xml:space="preserve"> On that basis,</w:t>
      </w:r>
      <w:r w:rsidR="001129CE" w:rsidRPr="002E196B">
        <w:t xml:space="preserve"> this report acknowledges the ITU provisions for</w:t>
      </w:r>
      <w:r w:rsidR="00C03867" w:rsidRPr="002E196B">
        <w:t xml:space="preserve"> coexistence between NGSO and GSO in Ku-band</w:t>
      </w:r>
      <w:r w:rsidR="00967A79" w:rsidRPr="002E196B">
        <w:t>,</w:t>
      </w:r>
      <w:r w:rsidR="001129CE" w:rsidRPr="002E196B">
        <w:t xml:space="preserve"> </w:t>
      </w:r>
      <w:r w:rsidR="00967A79" w:rsidRPr="002E196B">
        <w:t>through</w:t>
      </w:r>
      <w:r w:rsidR="001129CE" w:rsidRPr="002E196B">
        <w:t xml:space="preserve"> </w:t>
      </w:r>
      <w:r w:rsidR="004917F3" w:rsidRPr="002E196B">
        <w:t xml:space="preserve">full compliance </w:t>
      </w:r>
      <w:r w:rsidR="001129CE" w:rsidRPr="002E196B">
        <w:t>with</w:t>
      </w:r>
      <w:r w:rsidR="004917F3" w:rsidRPr="002E196B">
        <w:t xml:space="preserve"> </w:t>
      </w:r>
      <w:r w:rsidR="004917F3" w:rsidRPr="002E196B">
        <w:rPr>
          <w:b/>
          <w:bCs/>
        </w:rPr>
        <w:t>Article 22</w:t>
      </w:r>
      <w:r w:rsidR="00193427" w:rsidRPr="002E196B">
        <w:t>, which relies on</w:t>
      </w:r>
      <w:r w:rsidR="004917F3" w:rsidRPr="002E196B">
        <w:t xml:space="preserve"> EPFD limits and the latest </w:t>
      </w:r>
      <w:r w:rsidR="003C2A7B" w:rsidRPr="002E196B">
        <w:t xml:space="preserve">Recommendation </w:t>
      </w:r>
      <w:r w:rsidR="004917F3" w:rsidRPr="002E196B">
        <w:t>ITU-R S.1503-</w:t>
      </w:r>
      <w:r w:rsidR="003C2A7B" w:rsidRPr="002E196B">
        <w:t>4</w:t>
      </w:r>
      <w:r w:rsidR="00531C81" w:rsidRPr="002E196B">
        <w:t xml:space="preserve"> (September 2023)</w:t>
      </w:r>
      <w:r w:rsidR="00EC46C3" w:rsidRPr="002E196B">
        <w:t>.</w:t>
      </w:r>
      <w:r w:rsidR="004917F3" w:rsidRPr="002E196B">
        <w:t xml:space="preserve">  </w:t>
      </w:r>
    </w:p>
    <w:p w14:paraId="158EA625" w14:textId="77777777" w:rsidR="005C67DA" w:rsidRPr="002E196B" w:rsidRDefault="005C67DA" w:rsidP="00552D30"/>
    <w:p w14:paraId="03D4ABA7" w14:textId="6B53EB11" w:rsidR="005C67DA" w:rsidRPr="002E196B" w:rsidRDefault="005C67DA" w:rsidP="00E7420B">
      <w:pPr>
        <w:jc w:val="both"/>
      </w:pPr>
      <w:r w:rsidRPr="002E196B">
        <w:t>Secondly, at WRC</w:t>
      </w:r>
      <w:r w:rsidR="00B32955" w:rsidRPr="002E196B">
        <w:t>-</w:t>
      </w:r>
      <w:r w:rsidR="005B4F68" w:rsidRPr="002E196B">
        <w:rPr>
          <w:bCs/>
          <w:lang w:val="en-NZ"/>
        </w:rPr>
        <w:t>20</w:t>
      </w:r>
      <w:r w:rsidRPr="002E196B">
        <w:rPr>
          <w:bCs/>
          <w:lang w:val="en-NZ"/>
        </w:rPr>
        <w:t>03</w:t>
      </w:r>
      <w:r w:rsidRPr="002E196B">
        <w:t xml:space="preserve">, the following </w:t>
      </w:r>
      <w:r w:rsidR="008331ED" w:rsidRPr="002E196B">
        <w:t xml:space="preserve">conditions were introduced </w:t>
      </w:r>
      <w:r w:rsidRPr="002E196B">
        <w:t>to protect microwave links use in the 14 GHz Fixed Service allocation:</w:t>
      </w:r>
    </w:p>
    <w:p w14:paraId="696FEA3E" w14:textId="77777777" w:rsidR="00E7420B" w:rsidRPr="002E196B" w:rsidRDefault="002E3435" w:rsidP="00425190">
      <w:pPr>
        <w:pStyle w:val="ListParagraph"/>
        <w:keepLines/>
        <w:numPr>
          <w:ilvl w:val="0"/>
          <w:numId w:val="16"/>
        </w:numPr>
        <w:jc w:val="both"/>
      </w:pPr>
      <w:r w:rsidRPr="002E196B">
        <w:rPr>
          <w:bCs/>
        </w:rPr>
        <w:t>Resolution</w:t>
      </w:r>
      <w:r w:rsidRPr="002E196B">
        <w:rPr>
          <w:b/>
        </w:rPr>
        <w:t xml:space="preserve"> 902</w:t>
      </w:r>
      <w:r w:rsidRPr="002E196B">
        <w:t xml:space="preserve">, for </w:t>
      </w:r>
      <w:r w:rsidRPr="002E196B">
        <w:rPr>
          <w:bCs/>
        </w:rPr>
        <w:t>Earth Stations on Vessels (</w:t>
      </w:r>
      <w:r w:rsidRPr="002E196B">
        <w:t>ESV</w:t>
      </w:r>
      <w:r w:rsidRPr="002E196B">
        <w:rPr>
          <w:bCs/>
        </w:rPr>
        <w:t xml:space="preserve">) operating under the </w:t>
      </w:r>
      <w:r w:rsidRPr="002E196B">
        <w:t>FSS</w:t>
      </w:r>
      <w:r w:rsidRPr="002E196B">
        <w:rPr>
          <w:bCs/>
        </w:rPr>
        <w:t xml:space="preserve"> </w:t>
      </w:r>
      <w:r w:rsidRPr="002E196B">
        <w:t>allocation</w:t>
      </w:r>
      <w:r w:rsidR="005C67DA" w:rsidRPr="002E196B">
        <w:t xml:space="preserve">; and, </w:t>
      </w:r>
    </w:p>
    <w:p w14:paraId="2A7C938A" w14:textId="4698A7F3" w:rsidR="005C67DA" w:rsidRPr="002E196B" w:rsidRDefault="002E3435" w:rsidP="00425190">
      <w:pPr>
        <w:pStyle w:val="ListParagraph"/>
        <w:keepLines/>
        <w:numPr>
          <w:ilvl w:val="0"/>
          <w:numId w:val="16"/>
        </w:numPr>
        <w:jc w:val="both"/>
      </w:pPr>
      <w:r w:rsidRPr="002E196B">
        <w:t xml:space="preserve">A new </w:t>
      </w:r>
      <w:r w:rsidRPr="002E196B">
        <w:rPr>
          <w:bCs/>
        </w:rPr>
        <w:t>secondary</w:t>
      </w:r>
      <w:r w:rsidRPr="002E196B">
        <w:t xml:space="preserve"> allocation to the Aeronautical Mobile Satellite Service (AMSS) in the band 14.0-14.5 GHz, and with </w:t>
      </w:r>
      <w:r w:rsidR="008331ED" w:rsidRPr="002E196B">
        <w:t xml:space="preserve">Recommendation </w:t>
      </w:r>
      <w:r w:rsidRPr="002E196B">
        <w:t>ITU-R M.1643, which provides a PFD mask for Aircraft Earth Stations (AES) to protect the Fixed Service (FS)</w:t>
      </w:r>
      <w:r w:rsidR="005C67DA" w:rsidRPr="002E196B">
        <w:t>.</w:t>
      </w:r>
    </w:p>
    <w:p w14:paraId="0834CF22" w14:textId="77777777" w:rsidR="005C67DA" w:rsidRPr="002E196B" w:rsidRDefault="005C67DA" w:rsidP="00552D30"/>
    <w:p w14:paraId="275916CF" w14:textId="77777777" w:rsidR="00590107" w:rsidRPr="002E196B" w:rsidRDefault="00590107" w:rsidP="00552D30"/>
    <w:p w14:paraId="4C49B56C" w14:textId="2D5B6A93" w:rsidR="00F47B09" w:rsidRPr="002E196B" w:rsidRDefault="00E93C8A" w:rsidP="008F7A69">
      <w:pPr>
        <w:pStyle w:val="Header1"/>
      </w:pPr>
      <w:bookmarkStart w:id="3" w:name="_Toc160797074"/>
      <w:r w:rsidRPr="002E196B">
        <w:t>Technical a</w:t>
      </w:r>
      <w:r w:rsidR="00F47B09" w:rsidRPr="002E196B">
        <w:t xml:space="preserve">nalysis of </w:t>
      </w:r>
      <w:r w:rsidR="00857E69" w:rsidRPr="002E196B">
        <w:t xml:space="preserve">a </w:t>
      </w:r>
      <w:r w:rsidR="00E16279" w:rsidRPr="002E196B">
        <w:t xml:space="preserve">specific </w:t>
      </w:r>
      <w:r w:rsidR="00F47B09" w:rsidRPr="002E196B">
        <w:t xml:space="preserve">NGSO Earth </w:t>
      </w:r>
      <w:r w:rsidR="0068058E" w:rsidRPr="002E196B">
        <w:t>S</w:t>
      </w:r>
      <w:r w:rsidR="00F47B09" w:rsidRPr="002E196B">
        <w:t xml:space="preserve">tation </w:t>
      </w:r>
      <w:r w:rsidR="0068058E" w:rsidRPr="002E196B">
        <w:t>T</w:t>
      </w:r>
      <w:r w:rsidR="00F47B09" w:rsidRPr="002E196B">
        <w:t>erminal on ships</w:t>
      </w:r>
      <w:bookmarkEnd w:id="3"/>
    </w:p>
    <w:p w14:paraId="38147DE6" w14:textId="793A7DEC" w:rsidR="002A7740" w:rsidRPr="002E196B" w:rsidRDefault="00F87ECA" w:rsidP="002A7740">
      <w:pPr>
        <w:jc w:val="both"/>
        <w:rPr>
          <w:lang w:eastAsia="ko-KR"/>
        </w:rPr>
      </w:pPr>
      <w:r w:rsidRPr="002E196B">
        <w:t xml:space="preserve">This section provides the results of calculations </w:t>
      </w:r>
      <w:r w:rsidR="00E65EEB" w:rsidRPr="002E196B">
        <w:t xml:space="preserve">of the EIRP and </w:t>
      </w:r>
      <w:proofErr w:type="spellStart"/>
      <w:r w:rsidR="00E65EEB" w:rsidRPr="002E196B">
        <w:t>EIRPsd</w:t>
      </w:r>
      <w:proofErr w:type="spellEnd"/>
      <w:r w:rsidR="00E65EEB" w:rsidRPr="002E196B">
        <w:t xml:space="preserve"> toward the horizon</w:t>
      </w:r>
      <w:r w:rsidR="002A7740" w:rsidRPr="002E196B">
        <w:t xml:space="preserve"> and compares the results with the limits</w:t>
      </w:r>
      <w:r w:rsidR="00F57A20" w:rsidRPr="002E196B">
        <w:t xml:space="preserve"> </w:t>
      </w:r>
      <w:r w:rsidR="002A7740" w:rsidRPr="002E196B">
        <w:t xml:space="preserve">in Resolution 902. It is noted that </w:t>
      </w:r>
      <w:r w:rsidR="008F7A69" w:rsidRPr="002E196B">
        <w:t>Resolution</w:t>
      </w:r>
      <w:r w:rsidR="008F7A69" w:rsidRPr="002E196B">
        <w:rPr>
          <w:b/>
        </w:rPr>
        <w:t xml:space="preserve"> </w:t>
      </w:r>
      <w:r w:rsidR="008F7A69" w:rsidRPr="002E196B">
        <w:rPr>
          <w:b/>
          <w:bCs/>
        </w:rPr>
        <w:t>902</w:t>
      </w:r>
      <w:r w:rsidR="008F7A69" w:rsidRPr="002E196B">
        <w:rPr>
          <w:b/>
        </w:rPr>
        <w:t xml:space="preserve"> (Rev.WRC-23) </w:t>
      </w:r>
      <w:r w:rsidR="002A7740" w:rsidRPr="002E196B">
        <w:t>can be still applicable to NGSO Earth station termi</w:t>
      </w:r>
      <w:r w:rsidR="00F57A20" w:rsidRPr="002E196B">
        <w:t>n</w:t>
      </w:r>
      <w:r w:rsidR="002A7740" w:rsidRPr="002E196B">
        <w:t>als mentioned in this Report depending on the decision of an administration which consid</w:t>
      </w:r>
      <w:r w:rsidR="002A7740" w:rsidRPr="002E196B">
        <w:rPr>
          <w:lang w:eastAsia="ko-KR"/>
        </w:rPr>
        <w:t>ers the operation of Non-GSO Earth station terminal within its territory.</w:t>
      </w:r>
    </w:p>
    <w:p w14:paraId="052EA4F8" w14:textId="77777777" w:rsidR="002A7740" w:rsidRPr="002E196B" w:rsidRDefault="002A7740" w:rsidP="002A7740">
      <w:pPr>
        <w:jc w:val="both"/>
        <w:rPr>
          <w:lang w:eastAsia="ko-KR"/>
        </w:rPr>
      </w:pPr>
    </w:p>
    <w:p w14:paraId="50CF49D0" w14:textId="52D5B34B" w:rsidR="005C67DA" w:rsidRPr="002E196B" w:rsidRDefault="005C67DA" w:rsidP="007905C1">
      <w:pPr>
        <w:pStyle w:val="Header2"/>
        <w:ind w:left="720" w:hanging="720"/>
      </w:pPr>
      <w:bookmarkStart w:id="4" w:name="_Toc160797075"/>
      <w:r w:rsidRPr="002E196B">
        <w:t>Maritime NGSO Earth Station Terminals</w:t>
      </w:r>
      <w:bookmarkEnd w:id="4"/>
    </w:p>
    <w:p w14:paraId="73A3186D" w14:textId="465A800E" w:rsidR="005C67DA" w:rsidRPr="002E196B" w:rsidRDefault="005C67DA" w:rsidP="00E7420B">
      <w:pPr>
        <w:jc w:val="both"/>
      </w:pPr>
      <w:r w:rsidRPr="002E196B">
        <w:t xml:space="preserve">NGSO Earth Station Terminals installed on ships are operating under the primary FSS allocation in the Ku-band (14.0-14.5 GHz). As such they </w:t>
      </w:r>
      <w:r w:rsidR="00BE77D9" w:rsidRPr="002E196B">
        <w:t>are</w:t>
      </w:r>
      <w:r w:rsidRPr="002E196B">
        <w:t xml:space="preserve"> considered as an integral part of these NGSO satellite systems recognized by the ITU as operating under the umbrella of the Fixed Satellite Service (FSS). This is the current case for </w:t>
      </w:r>
      <w:r w:rsidR="00E16279" w:rsidRPr="002E196B">
        <w:t>N</w:t>
      </w:r>
      <w:r w:rsidRPr="002E196B">
        <w:t xml:space="preserve">GSO equipment. </w:t>
      </w:r>
    </w:p>
    <w:p w14:paraId="52ED02C9" w14:textId="77777777" w:rsidR="005C67DA" w:rsidRPr="002E196B" w:rsidRDefault="005C67DA" w:rsidP="00552D30">
      <w:pPr>
        <w:pStyle w:val="ListParagraph"/>
        <w:ind w:left="0"/>
      </w:pPr>
    </w:p>
    <w:p w14:paraId="6990B627" w14:textId="0A0BBC84" w:rsidR="005C67DA" w:rsidRDefault="005C67DA" w:rsidP="00E7420B">
      <w:pPr>
        <w:jc w:val="both"/>
      </w:pPr>
      <w:r w:rsidRPr="002E196B">
        <w:t>ITU-R SG4 process leading to WRC-</w:t>
      </w:r>
      <w:r w:rsidR="001913C6" w:rsidRPr="002E196B">
        <w:t>20</w:t>
      </w:r>
      <w:r w:rsidRPr="002E196B">
        <w:t xml:space="preserve">03, studied the matter, specifically related to Earth Station on Vessels (ESVs) of </w:t>
      </w:r>
      <w:r w:rsidR="00E82112" w:rsidRPr="002E196B">
        <w:t>satellite</w:t>
      </w:r>
      <w:r w:rsidR="00B32955" w:rsidRPr="002E196B">
        <w:t xml:space="preserve"> </w:t>
      </w:r>
      <w:r w:rsidRPr="002E196B">
        <w:t>networks using the FSS allocation in 14.0-14.5 GHz. The studies undertaken by the SG4 were mainly in relation to the protection of co-primary FS microwave links</w:t>
      </w:r>
      <w:r w:rsidR="00CC357D" w:rsidRPr="002E196B">
        <w:t xml:space="preserve"> and requirements in Annex 2 </w:t>
      </w:r>
      <w:r w:rsidR="00F10D0D" w:rsidRPr="002E196B">
        <w:t>of Resolution</w:t>
      </w:r>
      <w:r w:rsidR="00F10D0D" w:rsidRPr="002E196B">
        <w:rPr>
          <w:b/>
        </w:rPr>
        <w:t xml:space="preserve"> </w:t>
      </w:r>
      <w:r w:rsidR="00F10D0D" w:rsidRPr="002E196B">
        <w:rPr>
          <w:b/>
          <w:bCs/>
        </w:rPr>
        <w:t>902</w:t>
      </w:r>
      <w:r w:rsidR="00F10D0D" w:rsidRPr="002E196B">
        <w:rPr>
          <w:b/>
        </w:rPr>
        <w:t xml:space="preserve"> (</w:t>
      </w:r>
      <w:r w:rsidR="004B0505" w:rsidRPr="002E196B">
        <w:rPr>
          <w:b/>
        </w:rPr>
        <w:t>Rev.</w:t>
      </w:r>
      <w:r w:rsidR="00F10D0D" w:rsidRPr="002E196B">
        <w:rPr>
          <w:b/>
        </w:rPr>
        <w:t>WRC-</w:t>
      </w:r>
      <w:r w:rsidR="0099633F" w:rsidRPr="002E196B">
        <w:rPr>
          <w:b/>
        </w:rPr>
        <w:t>23</w:t>
      </w:r>
      <w:r w:rsidR="00F10D0D" w:rsidRPr="002E196B">
        <w:rPr>
          <w:b/>
        </w:rPr>
        <w:t xml:space="preserve">) </w:t>
      </w:r>
      <w:r w:rsidR="00CC357D" w:rsidRPr="002E196B">
        <w:t xml:space="preserve">related to the protection of victim GSO </w:t>
      </w:r>
      <w:r w:rsidR="00600BED" w:rsidRPr="002E196B">
        <w:t>satellites and</w:t>
      </w:r>
      <w:r w:rsidRPr="002E196B">
        <w:t xml:space="preserve"> resulted in some technical limitation for ESVs given in</w:t>
      </w:r>
      <w:r w:rsidRPr="002E196B">
        <w:rPr>
          <w:bCs/>
        </w:rPr>
        <w:t xml:space="preserve"> </w:t>
      </w:r>
      <w:r w:rsidRPr="002E196B">
        <w:t>Resolution</w:t>
      </w:r>
      <w:r w:rsidRPr="002E196B">
        <w:rPr>
          <w:b/>
        </w:rPr>
        <w:t xml:space="preserve"> </w:t>
      </w:r>
      <w:r w:rsidRPr="002E196B">
        <w:rPr>
          <w:b/>
          <w:bCs/>
        </w:rPr>
        <w:t>902</w:t>
      </w:r>
      <w:r w:rsidRPr="002E196B">
        <w:rPr>
          <w:b/>
        </w:rPr>
        <w:t xml:space="preserve"> (</w:t>
      </w:r>
      <w:r w:rsidR="004B0505" w:rsidRPr="002E196B">
        <w:rPr>
          <w:b/>
        </w:rPr>
        <w:t>Rev.WRC-23</w:t>
      </w:r>
      <w:r w:rsidRPr="002E196B">
        <w:rPr>
          <w:b/>
        </w:rPr>
        <w:t>)</w:t>
      </w:r>
      <w:r w:rsidRPr="002E196B">
        <w:t xml:space="preserve">. </w:t>
      </w:r>
    </w:p>
    <w:p w14:paraId="41587922" w14:textId="77777777" w:rsidR="00A40E47" w:rsidRPr="002E196B" w:rsidRDefault="00A40E47" w:rsidP="00E7420B">
      <w:pPr>
        <w:jc w:val="both"/>
      </w:pPr>
    </w:p>
    <w:p w14:paraId="6B15DA33" w14:textId="5C928759" w:rsidR="00B32955" w:rsidRPr="002E196B" w:rsidDel="00B32955" w:rsidRDefault="00B32955" w:rsidP="007905C1">
      <w:pPr>
        <w:pStyle w:val="Header2"/>
        <w:ind w:left="720" w:hanging="720"/>
        <w:rPr>
          <w:i/>
        </w:rPr>
      </w:pPr>
      <w:bookmarkStart w:id="5" w:name="_Toc160797076"/>
      <w:r w:rsidRPr="002E196B">
        <w:t xml:space="preserve">Interference </w:t>
      </w:r>
      <w:r w:rsidR="001129CE" w:rsidRPr="002E196B">
        <w:t xml:space="preserve">potential of a </w:t>
      </w:r>
      <w:r w:rsidR="00B16D8E" w:rsidRPr="002E196B">
        <w:t xml:space="preserve">specific </w:t>
      </w:r>
      <w:r w:rsidRPr="002E196B">
        <w:t xml:space="preserve">NGSO </w:t>
      </w:r>
      <w:r w:rsidR="0068058E" w:rsidRPr="002E196B">
        <w:t>E</w:t>
      </w:r>
      <w:r w:rsidRPr="002E196B">
        <w:t xml:space="preserve">arth </w:t>
      </w:r>
      <w:r w:rsidR="0068058E" w:rsidRPr="002E196B">
        <w:t>S</w:t>
      </w:r>
      <w:r w:rsidRPr="002E196B">
        <w:t xml:space="preserve">tation </w:t>
      </w:r>
      <w:r w:rsidR="0068058E" w:rsidRPr="002E196B">
        <w:t>T</w:t>
      </w:r>
      <w:r w:rsidRPr="002E196B">
        <w:t>erminal on ships</w:t>
      </w:r>
      <w:bookmarkEnd w:id="5"/>
    </w:p>
    <w:p w14:paraId="760483F6" w14:textId="3704CE54" w:rsidR="00A67415" w:rsidRPr="002E196B" w:rsidRDefault="008C3327" w:rsidP="007E52C1">
      <w:pPr>
        <w:jc w:val="both"/>
      </w:pPr>
      <w:r w:rsidRPr="002E196B">
        <w:t xml:space="preserve">NGSO terminals are dynamically tracking the NGSO </w:t>
      </w:r>
      <w:r w:rsidR="00600BED" w:rsidRPr="002E196B">
        <w:t>satellites,</w:t>
      </w:r>
      <w:r w:rsidRPr="002E196B">
        <w:t xml:space="preserve"> and the azimuth may vary between 0 and 360 degrees with no </w:t>
      </w:r>
      <w:proofErr w:type="gramStart"/>
      <w:r w:rsidRPr="002E196B">
        <w:t>particular specific</w:t>
      </w:r>
      <w:proofErr w:type="gramEnd"/>
      <w:r w:rsidRPr="002E196B">
        <w:t xml:space="preserve"> direction</w:t>
      </w:r>
      <w:r w:rsidR="00FC62C1" w:rsidRPr="002E196B">
        <w:t>.</w:t>
      </w:r>
      <w:bookmarkStart w:id="6" w:name="_Hlk160575857"/>
      <w:r w:rsidR="00FC62C1" w:rsidRPr="002E196B">
        <w:t xml:space="preserve"> </w:t>
      </w:r>
    </w:p>
    <w:bookmarkEnd w:id="6"/>
    <w:p w14:paraId="0208B92E" w14:textId="77777777" w:rsidR="0002130F" w:rsidRPr="002E196B" w:rsidRDefault="0002130F" w:rsidP="00552D30"/>
    <w:p w14:paraId="6DA0D2B1" w14:textId="3571B6DA" w:rsidR="00CB181D" w:rsidRPr="002E196B" w:rsidRDefault="00201479" w:rsidP="009D58D0">
      <w:pPr>
        <w:jc w:val="both"/>
      </w:pPr>
      <w:r w:rsidRPr="002E196B">
        <w:t>Annex 1</w:t>
      </w:r>
      <w:r w:rsidR="00B3241D" w:rsidRPr="002E196B">
        <w:t xml:space="preserve"> </w:t>
      </w:r>
      <w:r w:rsidR="0089075A" w:rsidRPr="002E196B">
        <w:t xml:space="preserve">of this document </w:t>
      </w:r>
      <w:r w:rsidR="00B3241D" w:rsidRPr="002E196B">
        <w:t>provide</w:t>
      </w:r>
      <w:r w:rsidR="00260E5E" w:rsidRPr="002E196B">
        <w:t>s</w:t>
      </w:r>
      <w:r w:rsidR="00B3241D" w:rsidRPr="002E196B">
        <w:t xml:space="preserve"> </w:t>
      </w:r>
      <w:r w:rsidR="00D44C34" w:rsidRPr="002E196B">
        <w:t xml:space="preserve">one </w:t>
      </w:r>
      <w:r w:rsidR="00B3241D" w:rsidRPr="002E196B">
        <w:t xml:space="preserve">calculation </w:t>
      </w:r>
      <w:r w:rsidR="00D2465C" w:rsidRPr="002E196B">
        <w:t>o</w:t>
      </w:r>
      <w:r w:rsidR="00B3241D" w:rsidRPr="002E196B">
        <w:t xml:space="preserve">f the </w:t>
      </w:r>
      <w:r w:rsidR="00D2465C" w:rsidRPr="002E196B">
        <w:t xml:space="preserve">EIRP and </w:t>
      </w:r>
      <w:proofErr w:type="spellStart"/>
      <w:r w:rsidR="00D2465C" w:rsidRPr="002E196B">
        <w:t>EIRPsd</w:t>
      </w:r>
      <w:proofErr w:type="spellEnd"/>
      <w:r w:rsidR="00D2465C" w:rsidRPr="002E196B">
        <w:t xml:space="preserve"> toward the horizon, related to </w:t>
      </w:r>
      <w:r w:rsidRPr="002E196B">
        <w:t>NGSO Earth station terminals</w:t>
      </w:r>
      <w:r w:rsidR="0089075A" w:rsidRPr="002E196B">
        <w:t xml:space="preserve"> when the main lobe is at an elevation angle of 35 degrees</w:t>
      </w:r>
      <w:r w:rsidRPr="002E196B">
        <w:t xml:space="preserve">. </w:t>
      </w:r>
      <w:r w:rsidR="000A7884" w:rsidRPr="002E196B">
        <w:t>T</w:t>
      </w:r>
      <w:r w:rsidR="00A9198E" w:rsidRPr="002E196B">
        <w:t xml:space="preserve">hese calculations </w:t>
      </w:r>
      <w:r w:rsidR="000A7884" w:rsidRPr="002E196B">
        <w:t>compare</w:t>
      </w:r>
      <w:r w:rsidR="00A9198E" w:rsidRPr="002E196B">
        <w:t xml:space="preserve"> the limits in</w:t>
      </w:r>
      <w:r w:rsidR="00D2465C" w:rsidRPr="002E196B">
        <w:t xml:space="preserve"> </w:t>
      </w:r>
      <w:r w:rsidR="00260E5E" w:rsidRPr="002E196B">
        <w:t xml:space="preserve">WRC </w:t>
      </w:r>
      <w:r w:rsidR="00D2465C" w:rsidRPr="002E196B">
        <w:t>Resolutio</w:t>
      </w:r>
      <w:r w:rsidR="006268BB" w:rsidRPr="002E196B">
        <w:t xml:space="preserve">n </w:t>
      </w:r>
      <w:r w:rsidR="00D2465C" w:rsidRPr="002E196B">
        <w:rPr>
          <w:b/>
        </w:rPr>
        <w:t>902</w:t>
      </w:r>
      <w:r w:rsidR="000A7884" w:rsidRPr="002E196B">
        <w:t xml:space="preserve"> </w:t>
      </w:r>
      <w:r w:rsidR="001129CE" w:rsidRPr="002E196B">
        <w:t xml:space="preserve">with </w:t>
      </w:r>
      <w:r w:rsidR="00B06284" w:rsidRPr="002E196B">
        <w:t>a specific</w:t>
      </w:r>
      <w:r w:rsidR="000A7884" w:rsidRPr="002E196B">
        <w:t xml:space="preserve"> NGSO Earth station terminal</w:t>
      </w:r>
      <w:r w:rsidR="00D2465C" w:rsidRPr="002E196B">
        <w:t>.</w:t>
      </w:r>
    </w:p>
    <w:p w14:paraId="4DBFD06D" w14:textId="044F70C5" w:rsidR="00201479" w:rsidRPr="002E196B" w:rsidRDefault="00201479" w:rsidP="005B2DFC">
      <w:pPr>
        <w:ind w:left="284"/>
      </w:pPr>
    </w:p>
    <w:p w14:paraId="52ABD6D0" w14:textId="316A0541" w:rsidR="006268BB" w:rsidRPr="002E196B" w:rsidRDefault="000A7884" w:rsidP="005B2DFC">
      <w:r w:rsidRPr="002E196B">
        <w:t xml:space="preserve"> </w:t>
      </w:r>
      <w:r w:rsidR="006268BB" w:rsidRPr="002E196B">
        <w:t xml:space="preserve">Resolution </w:t>
      </w:r>
      <w:r w:rsidR="006268BB" w:rsidRPr="002E196B">
        <w:rPr>
          <w:b/>
        </w:rPr>
        <w:t>902</w:t>
      </w:r>
      <w:r w:rsidR="00CD2FD4" w:rsidRPr="002E196B">
        <w:rPr>
          <w:b/>
        </w:rPr>
        <w:t xml:space="preserve"> (</w:t>
      </w:r>
      <w:r w:rsidR="00B62D19" w:rsidRPr="002E196B">
        <w:rPr>
          <w:b/>
        </w:rPr>
        <w:t>Rev.</w:t>
      </w:r>
      <w:r w:rsidR="00CD2FD4" w:rsidRPr="002E196B">
        <w:rPr>
          <w:b/>
        </w:rPr>
        <w:t>WRC-23)</w:t>
      </w:r>
      <w:r w:rsidR="006268BB" w:rsidRPr="002E196B">
        <w:t xml:space="preserve"> </w:t>
      </w:r>
      <w:r w:rsidR="001129CE" w:rsidRPr="002E196B">
        <w:t xml:space="preserve">EIRP </w:t>
      </w:r>
      <w:r w:rsidR="006268BB" w:rsidRPr="002E196B">
        <w:t>limits:</w:t>
      </w:r>
    </w:p>
    <w:p w14:paraId="255CD503" w14:textId="33335312" w:rsidR="00A041C0" w:rsidRPr="002E196B" w:rsidRDefault="00A041C0" w:rsidP="005B2DFC">
      <w:pPr>
        <w:pStyle w:val="ListParagraph"/>
        <w:numPr>
          <w:ilvl w:val="0"/>
          <w:numId w:val="1"/>
        </w:numPr>
        <w:rPr>
          <w:sz w:val="22"/>
          <w:szCs w:val="22"/>
        </w:rPr>
      </w:pPr>
      <w:r w:rsidRPr="002E196B">
        <w:rPr>
          <w:sz w:val="22"/>
          <w:szCs w:val="22"/>
        </w:rPr>
        <w:t xml:space="preserve">Maximum ESV </w:t>
      </w:r>
      <w:proofErr w:type="spellStart"/>
      <w:r w:rsidRPr="002E196B">
        <w:rPr>
          <w:sz w:val="22"/>
          <w:szCs w:val="22"/>
        </w:rPr>
        <w:t>e.i.r.p</w:t>
      </w:r>
      <w:proofErr w:type="spellEnd"/>
      <w:r w:rsidRPr="002E196B">
        <w:rPr>
          <w:sz w:val="22"/>
          <w:szCs w:val="22"/>
        </w:rPr>
        <w:t xml:space="preserve">. toward the horizon </w:t>
      </w:r>
      <w:r w:rsidRPr="002E196B">
        <w:rPr>
          <w:sz w:val="22"/>
          <w:szCs w:val="22"/>
        </w:rPr>
        <w:tab/>
      </w:r>
      <w:r w:rsidRPr="002E196B">
        <w:rPr>
          <w:sz w:val="22"/>
          <w:szCs w:val="22"/>
        </w:rPr>
        <w:tab/>
      </w:r>
      <w:r w:rsidRPr="002E196B">
        <w:rPr>
          <w:sz w:val="22"/>
          <w:szCs w:val="22"/>
        </w:rPr>
        <w:tab/>
        <w:t xml:space="preserve">16.3 </w:t>
      </w:r>
      <w:proofErr w:type="spellStart"/>
      <w:r w:rsidRPr="002E196B">
        <w:rPr>
          <w:sz w:val="22"/>
          <w:szCs w:val="22"/>
        </w:rPr>
        <w:t>dBW</w:t>
      </w:r>
      <w:proofErr w:type="spellEnd"/>
    </w:p>
    <w:p w14:paraId="756499B2" w14:textId="3FCF47EF" w:rsidR="00CC052B" w:rsidRPr="002E196B" w:rsidRDefault="00CC052B" w:rsidP="005B2DFC">
      <w:pPr>
        <w:pStyle w:val="ListParagraph"/>
        <w:numPr>
          <w:ilvl w:val="0"/>
          <w:numId w:val="1"/>
        </w:numPr>
        <w:rPr>
          <w:sz w:val="22"/>
          <w:szCs w:val="22"/>
        </w:rPr>
      </w:pPr>
      <w:r w:rsidRPr="002E196B">
        <w:rPr>
          <w:sz w:val="22"/>
          <w:szCs w:val="22"/>
        </w:rPr>
        <w:t xml:space="preserve">Maximum ESV </w:t>
      </w:r>
      <w:proofErr w:type="spellStart"/>
      <w:r w:rsidRPr="002E196B">
        <w:rPr>
          <w:sz w:val="22"/>
          <w:szCs w:val="22"/>
        </w:rPr>
        <w:t>e.i.r.p</w:t>
      </w:r>
      <w:proofErr w:type="spellEnd"/>
      <w:r w:rsidRPr="002E196B">
        <w:rPr>
          <w:sz w:val="22"/>
          <w:szCs w:val="22"/>
        </w:rPr>
        <w:t>. spectral density toward the horizon</w:t>
      </w:r>
      <w:r w:rsidRPr="002E196B">
        <w:rPr>
          <w:sz w:val="22"/>
          <w:szCs w:val="22"/>
        </w:rPr>
        <w:tab/>
        <w:t xml:space="preserve">12.5 </w:t>
      </w:r>
      <w:proofErr w:type="spellStart"/>
      <w:r w:rsidRPr="002E196B">
        <w:rPr>
          <w:sz w:val="22"/>
          <w:szCs w:val="22"/>
        </w:rPr>
        <w:t>dBW</w:t>
      </w:r>
      <w:proofErr w:type="spellEnd"/>
      <w:r w:rsidRPr="002E196B">
        <w:rPr>
          <w:sz w:val="22"/>
          <w:szCs w:val="22"/>
        </w:rPr>
        <w:t>/MHz</w:t>
      </w:r>
    </w:p>
    <w:p w14:paraId="72982442" w14:textId="0E07652F" w:rsidR="00CC052B" w:rsidRPr="002E196B" w:rsidRDefault="00CC052B" w:rsidP="005B2DFC">
      <w:pPr>
        <w:ind w:left="720"/>
      </w:pPr>
    </w:p>
    <w:p w14:paraId="53B9BC16" w14:textId="77777777" w:rsidR="00C32C2B" w:rsidRDefault="00C32C2B">
      <w:pPr>
        <w:spacing w:after="160" w:line="259" w:lineRule="auto"/>
      </w:pPr>
      <w:r>
        <w:br w:type="page"/>
      </w:r>
    </w:p>
    <w:p w14:paraId="51B3FA80" w14:textId="47063205" w:rsidR="00A61C43" w:rsidRPr="002E196B" w:rsidRDefault="00CC052B" w:rsidP="00B62D19">
      <w:pPr>
        <w:jc w:val="both"/>
      </w:pPr>
      <w:r w:rsidRPr="002E196B">
        <w:lastRenderedPageBreak/>
        <w:t xml:space="preserve">From the calculations </w:t>
      </w:r>
      <w:r w:rsidR="00A61C43" w:rsidRPr="002E196B">
        <w:t xml:space="preserve">in </w:t>
      </w:r>
      <w:r w:rsidR="00A9198E" w:rsidRPr="002E196B">
        <w:t>Annex 1</w:t>
      </w:r>
      <w:r w:rsidRPr="002E196B">
        <w:t xml:space="preserve">, </w:t>
      </w:r>
      <w:r w:rsidR="00260E5E" w:rsidRPr="002E196B">
        <w:t xml:space="preserve">Table 1 shows the comparison of the EIRP and </w:t>
      </w:r>
      <w:proofErr w:type="spellStart"/>
      <w:r w:rsidR="00260E5E" w:rsidRPr="002E196B">
        <w:t>EIRPsd</w:t>
      </w:r>
      <w:proofErr w:type="spellEnd"/>
      <w:r w:rsidR="00260E5E" w:rsidRPr="002E196B">
        <w:t xml:space="preserve"> </w:t>
      </w:r>
      <w:r w:rsidR="000A7884" w:rsidRPr="002E196B">
        <w:t>towards the horizon.</w:t>
      </w:r>
    </w:p>
    <w:p w14:paraId="009DEA87" w14:textId="1A47B8D2" w:rsidR="006E16BE" w:rsidRPr="002E196B" w:rsidRDefault="006E16BE" w:rsidP="005B2DFC">
      <w:pPr>
        <w:ind w:left="284"/>
      </w:pPr>
    </w:p>
    <w:p w14:paraId="0C911A86" w14:textId="65326E36" w:rsidR="000A7884" w:rsidRPr="002E196B" w:rsidRDefault="000A7884" w:rsidP="007905C1">
      <w:pPr>
        <w:rPr>
          <w:rFonts w:eastAsia="Yu Mincho"/>
          <w:b/>
          <w:bCs/>
          <w:lang w:eastAsia="ja-JP"/>
        </w:rPr>
      </w:pPr>
      <w:r w:rsidRPr="002E196B">
        <w:rPr>
          <w:rFonts w:eastAsia="Yu Mincho"/>
          <w:b/>
          <w:bCs/>
          <w:lang w:eastAsia="ja-JP"/>
        </w:rPr>
        <w:t xml:space="preserve">Table 1: Comparison of the EIRP and </w:t>
      </w:r>
      <w:proofErr w:type="spellStart"/>
      <w:r w:rsidRPr="002E196B">
        <w:rPr>
          <w:rFonts w:eastAsia="Yu Mincho"/>
          <w:b/>
          <w:bCs/>
          <w:lang w:eastAsia="ja-JP"/>
        </w:rPr>
        <w:t>EIRPsd</w:t>
      </w:r>
      <w:proofErr w:type="spellEnd"/>
      <w:r w:rsidRPr="002E196B">
        <w:rPr>
          <w:rFonts w:eastAsia="Yu Mincho"/>
          <w:b/>
          <w:bCs/>
          <w:lang w:eastAsia="ja-JP"/>
        </w:rPr>
        <w:t xml:space="preserve"> towards the horizon</w:t>
      </w:r>
    </w:p>
    <w:tbl>
      <w:tblPr>
        <w:tblStyle w:val="TableGrid"/>
        <w:tblW w:w="9180" w:type="dxa"/>
        <w:tblInd w:w="-5" w:type="dxa"/>
        <w:tblLook w:val="04A0" w:firstRow="1" w:lastRow="0" w:firstColumn="1" w:lastColumn="0" w:noHBand="0" w:noVBand="1"/>
      </w:tblPr>
      <w:tblGrid>
        <w:gridCol w:w="2829"/>
        <w:gridCol w:w="2829"/>
        <w:gridCol w:w="3522"/>
      </w:tblGrid>
      <w:tr w:rsidR="00A041C0" w:rsidRPr="002E196B" w14:paraId="3BA15E67" w14:textId="43186815" w:rsidTr="007905C1">
        <w:tc>
          <w:tcPr>
            <w:tcW w:w="2829" w:type="dxa"/>
            <w:shd w:val="clear" w:color="auto" w:fill="B4C6E7" w:themeFill="accent1" w:themeFillTint="66"/>
          </w:tcPr>
          <w:p w14:paraId="35B34013" w14:textId="5ABAF11F" w:rsidR="00A041C0" w:rsidRPr="002E196B" w:rsidRDefault="00A041C0" w:rsidP="005B2DFC"/>
        </w:tc>
        <w:tc>
          <w:tcPr>
            <w:tcW w:w="2829" w:type="dxa"/>
            <w:shd w:val="clear" w:color="auto" w:fill="B4C6E7" w:themeFill="accent1" w:themeFillTint="66"/>
          </w:tcPr>
          <w:p w14:paraId="38ADF7FD" w14:textId="6C8490C4" w:rsidR="00A041C0" w:rsidRPr="002E196B" w:rsidRDefault="00F319BE" w:rsidP="005B2DFC">
            <w:pPr>
              <w:jc w:val="center"/>
              <w:rPr>
                <w:b/>
                <w:bCs/>
              </w:rPr>
            </w:pPr>
            <w:r w:rsidRPr="002E196B">
              <w:rPr>
                <w:b/>
                <w:bCs/>
              </w:rPr>
              <w:t xml:space="preserve">specific </w:t>
            </w:r>
            <w:r w:rsidR="00A041C0" w:rsidRPr="002E196B">
              <w:rPr>
                <w:b/>
                <w:bCs/>
              </w:rPr>
              <w:t>NGSO terminal</w:t>
            </w:r>
          </w:p>
        </w:tc>
        <w:tc>
          <w:tcPr>
            <w:tcW w:w="3522" w:type="dxa"/>
            <w:shd w:val="clear" w:color="auto" w:fill="B4C6E7" w:themeFill="accent1" w:themeFillTint="66"/>
          </w:tcPr>
          <w:p w14:paraId="050F6BA5" w14:textId="65608698" w:rsidR="00A041C0" w:rsidRPr="002E196B" w:rsidRDefault="00CC0AE3" w:rsidP="005B2DFC">
            <w:pPr>
              <w:jc w:val="center"/>
              <w:rPr>
                <w:b/>
                <w:bCs/>
              </w:rPr>
            </w:pPr>
            <w:r w:rsidRPr="002E196B">
              <w:rPr>
                <w:b/>
                <w:bCs/>
              </w:rPr>
              <w:t>Maximum ESV EIRP</w:t>
            </w:r>
          </w:p>
        </w:tc>
      </w:tr>
      <w:tr w:rsidR="00A041C0" w:rsidRPr="002E196B" w14:paraId="366CA79D" w14:textId="30979DCA" w:rsidTr="007905C1">
        <w:tc>
          <w:tcPr>
            <w:tcW w:w="2829" w:type="dxa"/>
          </w:tcPr>
          <w:p w14:paraId="38AF5781" w14:textId="2634E031" w:rsidR="00A041C0" w:rsidRPr="002E196B" w:rsidRDefault="00A041C0" w:rsidP="007905C1">
            <w:proofErr w:type="spellStart"/>
            <w:r w:rsidRPr="002E196B">
              <w:rPr>
                <w:b/>
                <w:bCs/>
              </w:rPr>
              <w:t>EIRP</w:t>
            </w:r>
            <w:r w:rsidRPr="002E196B">
              <w:rPr>
                <w:b/>
                <w:bCs/>
                <w:vertAlign w:val="subscript"/>
              </w:rPr>
              <w:t>horizon</w:t>
            </w:r>
            <w:proofErr w:type="spellEnd"/>
            <w:r w:rsidRPr="002E196B">
              <w:rPr>
                <w:b/>
                <w:bCs/>
              </w:rPr>
              <w:t xml:space="preserve"> [</w:t>
            </w:r>
            <w:proofErr w:type="spellStart"/>
            <w:r w:rsidRPr="002E196B">
              <w:rPr>
                <w:b/>
                <w:bCs/>
              </w:rPr>
              <w:t>dBW</w:t>
            </w:r>
            <w:proofErr w:type="spellEnd"/>
            <w:r w:rsidRPr="002E196B">
              <w:rPr>
                <w:b/>
                <w:bCs/>
              </w:rPr>
              <w:t>]</w:t>
            </w:r>
          </w:p>
        </w:tc>
        <w:tc>
          <w:tcPr>
            <w:tcW w:w="2829" w:type="dxa"/>
          </w:tcPr>
          <w:p w14:paraId="39BCD1A5" w14:textId="154CA44D" w:rsidR="00A041C0" w:rsidRPr="002E196B" w:rsidRDefault="00A041C0" w:rsidP="005B2DFC">
            <w:pPr>
              <w:jc w:val="center"/>
            </w:pPr>
            <w:r w:rsidRPr="002E196B">
              <w:t>-7.6</w:t>
            </w:r>
          </w:p>
        </w:tc>
        <w:tc>
          <w:tcPr>
            <w:tcW w:w="3522" w:type="dxa"/>
          </w:tcPr>
          <w:p w14:paraId="1BC3825B" w14:textId="3973F555" w:rsidR="00A041C0" w:rsidRPr="002E196B" w:rsidRDefault="00A041C0" w:rsidP="005B2DFC">
            <w:pPr>
              <w:jc w:val="center"/>
            </w:pPr>
            <w:r w:rsidRPr="002E196B">
              <w:t>16.3</w:t>
            </w:r>
          </w:p>
        </w:tc>
      </w:tr>
      <w:tr w:rsidR="00A041C0" w:rsidRPr="002E196B" w14:paraId="644096A9" w14:textId="2C86E844" w:rsidTr="007905C1">
        <w:tc>
          <w:tcPr>
            <w:tcW w:w="2829" w:type="dxa"/>
          </w:tcPr>
          <w:p w14:paraId="0167019D" w14:textId="6C89B5C5" w:rsidR="00A041C0" w:rsidRPr="002E196B" w:rsidRDefault="00A041C0" w:rsidP="007905C1">
            <w:proofErr w:type="spellStart"/>
            <w:proofErr w:type="gramStart"/>
            <w:r w:rsidRPr="002E196B">
              <w:rPr>
                <w:b/>
                <w:bCs/>
              </w:rPr>
              <w:t>EIRP</w:t>
            </w:r>
            <w:r w:rsidRPr="002E196B">
              <w:rPr>
                <w:b/>
                <w:bCs/>
                <w:vertAlign w:val="subscript"/>
              </w:rPr>
              <w:t>sd,horizon</w:t>
            </w:r>
            <w:proofErr w:type="spellEnd"/>
            <w:proofErr w:type="gramEnd"/>
            <w:r w:rsidR="00260E5E" w:rsidRPr="002E196B">
              <w:rPr>
                <w:b/>
                <w:bCs/>
                <w:vertAlign w:val="subscript"/>
              </w:rPr>
              <w:t xml:space="preserve"> </w:t>
            </w:r>
            <w:r w:rsidRPr="002E196B">
              <w:rPr>
                <w:b/>
                <w:bCs/>
              </w:rPr>
              <w:t>[</w:t>
            </w:r>
            <w:proofErr w:type="spellStart"/>
            <w:r w:rsidRPr="002E196B">
              <w:rPr>
                <w:b/>
                <w:bCs/>
              </w:rPr>
              <w:t>dBW</w:t>
            </w:r>
            <w:proofErr w:type="spellEnd"/>
            <w:r w:rsidRPr="002E196B">
              <w:rPr>
                <w:b/>
                <w:bCs/>
              </w:rPr>
              <w:t>/MHz]</w:t>
            </w:r>
          </w:p>
        </w:tc>
        <w:tc>
          <w:tcPr>
            <w:tcW w:w="2829" w:type="dxa"/>
            <w:vAlign w:val="center"/>
          </w:tcPr>
          <w:p w14:paraId="67B593C3" w14:textId="3229FE38" w:rsidR="00A041C0" w:rsidRPr="002E196B" w:rsidRDefault="00A041C0" w:rsidP="005B2DFC">
            <w:pPr>
              <w:jc w:val="center"/>
            </w:pPr>
            <w:r w:rsidRPr="002E196B">
              <w:t>-20.6</w:t>
            </w:r>
          </w:p>
        </w:tc>
        <w:tc>
          <w:tcPr>
            <w:tcW w:w="3522" w:type="dxa"/>
            <w:vAlign w:val="center"/>
          </w:tcPr>
          <w:p w14:paraId="3BF294BB" w14:textId="7B41F5FD" w:rsidR="00A041C0" w:rsidRPr="002E196B" w:rsidRDefault="00A041C0" w:rsidP="005B2DFC">
            <w:pPr>
              <w:jc w:val="center"/>
            </w:pPr>
            <w:r w:rsidRPr="002E196B">
              <w:t>12.5</w:t>
            </w:r>
          </w:p>
        </w:tc>
      </w:tr>
    </w:tbl>
    <w:p w14:paraId="1CE0AB3C" w14:textId="4E894E32" w:rsidR="006E16BE" w:rsidRPr="002E196B" w:rsidRDefault="006E16BE" w:rsidP="005B2DFC">
      <w:pPr>
        <w:ind w:left="284"/>
      </w:pPr>
    </w:p>
    <w:p w14:paraId="7215EE77" w14:textId="4D20FE5A" w:rsidR="007E1A97" w:rsidRPr="002E196B" w:rsidRDefault="00A041C0" w:rsidP="00B62D19">
      <w:pPr>
        <w:jc w:val="both"/>
      </w:pPr>
      <w:r w:rsidRPr="002E196B">
        <w:rPr>
          <w:bCs/>
        </w:rPr>
        <w:t xml:space="preserve">This </w:t>
      </w:r>
      <w:r w:rsidR="000A7884" w:rsidRPr="002E196B">
        <w:rPr>
          <w:bCs/>
        </w:rPr>
        <w:t xml:space="preserve">result </w:t>
      </w:r>
      <w:r w:rsidRPr="002E196B">
        <w:rPr>
          <w:bCs/>
        </w:rPr>
        <w:t>demonstrates</w:t>
      </w:r>
      <w:r w:rsidRPr="002E196B">
        <w:t xml:space="preserve"> that</w:t>
      </w:r>
      <w:r w:rsidR="001129CE" w:rsidRPr="002E196B">
        <w:t xml:space="preserve"> a </w:t>
      </w:r>
      <w:r w:rsidR="00F319BE" w:rsidRPr="002E196B">
        <w:t>specific</w:t>
      </w:r>
      <w:r w:rsidRPr="002E196B">
        <w:t xml:space="preserve"> NGSO </w:t>
      </w:r>
      <w:r w:rsidRPr="002E196B">
        <w:rPr>
          <w:bCs/>
        </w:rPr>
        <w:t>earth</w:t>
      </w:r>
      <w:r w:rsidRPr="002E196B">
        <w:t xml:space="preserve"> station terminal </w:t>
      </w:r>
      <w:r w:rsidR="00CC0AE3" w:rsidRPr="002E196B">
        <w:rPr>
          <w:bCs/>
        </w:rPr>
        <w:t>can comply with Res</w:t>
      </w:r>
      <w:r w:rsidR="00CD2FD4" w:rsidRPr="002E196B">
        <w:rPr>
          <w:bCs/>
        </w:rPr>
        <w:t>olution</w:t>
      </w:r>
      <w:r w:rsidR="00CC0AE3" w:rsidRPr="002E196B">
        <w:rPr>
          <w:bCs/>
        </w:rPr>
        <w:t xml:space="preserve"> </w:t>
      </w:r>
      <w:r w:rsidR="00B62D19" w:rsidRPr="002E196B">
        <w:rPr>
          <w:b/>
        </w:rPr>
        <w:t>902 (Rev.WRC-23)</w:t>
      </w:r>
      <w:r w:rsidR="00B62D19" w:rsidRPr="002E196B">
        <w:t xml:space="preserve"> </w:t>
      </w:r>
      <w:r w:rsidR="00CC0AE3" w:rsidRPr="002E196B">
        <w:rPr>
          <w:bCs/>
        </w:rPr>
        <w:t xml:space="preserve">EIRP and </w:t>
      </w:r>
      <w:proofErr w:type="spellStart"/>
      <w:r w:rsidR="00CC0AE3" w:rsidRPr="002E196B">
        <w:rPr>
          <w:bCs/>
        </w:rPr>
        <w:t>EIRPsd</w:t>
      </w:r>
      <w:proofErr w:type="spellEnd"/>
      <w:r w:rsidR="00CC0AE3" w:rsidRPr="002E196B">
        <w:rPr>
          <w:bCs/>
        </w:rPr>
        <w:t xml:space="preserve"> towards horizon</w:t>
      </w:r>
      <w:r w:rsidRPr="002E196B">
        <w:rPr>
          <w:bCs/>
        </w:rPr>
        <w:t>.</w:t>
      </w:r>
      <w:r w:rsidR="00734D17" w:rsidRPr="002E196B">
        <w:t xml:space="preserve"> </w:t>
      </w:r>
      <w:r w:rsidR="00B62D19" w:rsidRPr="002E196B">
        <w:t>i.e.,</w:t>
      </w:r>
    </w:p>
    <w:p w14:paraId="4E6A4AFC" w14:textId="1EFC32BB" w:rsidR="00734D17" w:rsidRPr="002E196B" w:rsidRDefault="00734D17" w:rsidP="005B2DFC">
      <w:pPr>
        <w:ind w:left="284"/>
      </w:pPr>
    </w:p>
    <w:p w14:paraId="5ECB73D8" w14:textId="456A8141" w:rsidR="0096315B" w:rsidRPr="002E196B" w:rsidRDefault="0096315B" w:rsidP="005B2DFC">
      <w:pPr>
        <w:pStyle w:val="ListParagraph"/>
        <w:numPr>
          <w:ilvl w:val="0"/>
          <w:numId w:val="1"/>
        </w:numPr>
      </w:pPr>
      <w:r w:rsidRPr="002E196B">
        <w:t xml:space="preserve">For the </w:t>
      </w:r>
      <w:r w:rsidRPr="002E196B">
        <w:rPr>
          <w:sz w:val="22"/>
          <w:szCs w:val="22"/>
        </w:rPr>
        <w:t>EIRP</w:t>
      </w:r>
      <w:r w:rsidRPr="002E196B">
        <w:t xml:space="preserve"> toward horizon, </w:t>
      </w:r>
      <w:r w:rsidR="00FB7138" w:rsidRPr="002E196B">
        <w:t xml:space="preserve">in the </w:t>
      </w:r>
      <w:r w:rsidR="009A63D8" w:rsidRPr="002E196B">
        <w:t>calculation</w:t>
      </w:r>
      <w:r w:rsidR="00FB7138" w:rsidRPr="002E196B">
        <w:t xml:space="preserve"> </w:t>
      </w:r>
      <w:r w:rsidRPr="002E196B">
        <w:t xml:space="preserve">the margin is 23.9 </w:t>
      </w:r>
      <w:proofErr w:type="spellStart"/>
      <w:r w:rsidRPr="002E196B">
        <w:t>dB</w:t>
      </w:r>
      <w:r w:rsidR="00CC0AE3" w:rsidRPr="002E196B">
        <w:t>.</w:t>
      </w:r>
      <w:proofErr w:type="spellEnd"/>
    </w:p>
    <w:p w14:paraId="2428F572" w14:textId="21ED6B17" w:rsidR="00B26580" w:rsidRPr="002E196B" w:rsidRDefault="0096315B" w:rsidP="005B2DFC">
      <w:pPr>
        <w:pStyle w:val="ListParagraph"/>
        <w:numPr>
          <w:ilvl w:val="0"/>
          <w:numId w:val="1"/>
        </w:numPr>
        <w:rPr>
          <w:b/>
        </w:rPr>
      </w:pPr>
      <w:r w:rsidRPr="002E196B">
        <w:t xml:space="preserve">For the </w:t>
      </w:r>
      <w:proofErr w:type="spellStart"/>
      <w:r w:rsidRPr="002E196B">
        <w:t>EIRPsd</w:t>
      </w:r>
      <w:proofErr w:type="spellEnd"/>
      <w:r w:rsidRPr="002E196B">
        <w:t xml:space="preserve"> toward the horizon</w:t>
      </w:r>
      <w:r w:rsidR="00FB7138" w:rsidRPr="002E196B">
        <w:t xml:space="preserve">, in the </w:t>
      </w:r>
      <w:r w:rsidR="009A63D8" w:rsidRPr="002E196B">
        <w:t>calculation</w:t>
      </w:r>
      <w:r w:rsidRPr="002E196B">
        <w:t xml:space="preserve"> the margin is</w:t>
      </w:r>
      <w:r w:rsidR="00061CDC" w:rsidRPr="002E196B">
        <w:t xml:space="preserve"> 33.1 </w:t>
      </w:r>
      <w:proofErr w:type="spellStart"/>
      <w:r w:rsidR="00061CDC" w:rsidRPr="002E196B">
        <w:t>dB</w:t>
      </w:r>
      <w:r w:rsidR="00CC0AE3" w:rsidRPr="002E196B">
        <w:t>.</w:t>
      </w:r>
      <w:proofErr w:type="spellEnd"/>
    </w:p>
    <w:p w14:paraId="48A87CFF" w14:textId="77777777" w:rsidR="0081367A" w:rsidRPr="002E196B" w:rsidRDefault="0081367A" w:rsidP="00687C51"/>
    <w:p w14:paraId="341C4340" w14:textId="3930D47A" w:rsidR="00687C51" w:rsidRPr="002E196B" w:rsidRDefault="00687C51" w:rsidP="00687C51">
      <w:r w:rsidRPr="002E196B">
        <w:t xml:space="preserve">Annex </w:t>
      </w:r>
      <w:r w:rsidR="005F0D0B" w:rsidRPr="002E196B">
        <w:t>2</w:t>
      </w:r>
      <w:r w:rsidRPr="002E196B">
        <w:t xml:space="preserve"> of this document provides one calculation of the </w:t>
      </w:r>
      <w:r w:rsidR="00A23C62" w:rsidRPr="002E196B">
        <w:t>minimum</w:t>
      </w:r>
      <w:r w:rsidRPr="002E196B">
        <w:t xml:space="preserve"> distance when the main lobe is at an elevation angle of 35 degrees. </w:t>
      </w:r>
    </w:p>
    <w:p w14:paraId="1AF38D5D" w14:textId="77777777" w:rsidR="00687C51" w:rsidRPr="002E196B" w:rsidRDefault="00687C51" w:rsidP="00552D30"/>
    <w:p w14:paraId="5E0A2CD2" w14:textId="1647B5AD" w:rsidR="00153782" w:rsidRPr="002E196B" w:rsidRDefault="00153782" w:rsidP="00B62D19">
      <w:pPr>
        <w:pStyle w:val="Header2"/>
        <w:ind w:left="720" w:hanging="720"/>
      </w:pPr>
      <w:bookmarkStart w:id="7" w:name="_Toc160797077"/>
      <w:r w:rsidRPr="002E196B">
        <w:t xml:space="preserve">Consideration of the </w:t>
      </w:r>
      <w:r w:rsidR="005C251D" w:rsidRPr="002E196B">
        <w:t>minimum distances beyond which ship based terminal can operate without the prior agreement</w:t>
      </w:r>
      <w:r w:rsidR="005C251D" w:rsidRPr="002E196B" w:rsidDel="005C251D">
        <w:t xml:space="preserve"> </w:t>
      </w:r>
      <w:r w:rsidRPr="002E196B">
        <w:t xml:space="preserve">for </w:t>
      </w:r>
      <w:r w:rsidR="00B62D19" w:rsidRPr="002E196B">
        <w:t>ship-based</w:t>
      </w:r>
      <w:r w:rsidRPr="002E196B">
        <w:t xml:space="preserve"> satellite terminals</w:t>
      </w:r>
      <w:bookmarkEnd w:id="7"/>
    </w:p>
    <w:p w14:paraId="5D1BEFEF" w14:textId="4EEC3A92" w:rsidR="00153782" w:rsidRPr="002E196B" w:rsidRDefault="00153782" w:rsidP="0081367A">
      <w:pPr>
        <w:jc w:val="both"/>
      </w:pPr>
      <w:r w:rsidRPr="002E196B">
        <w:t>The operational limitations of WRC Resolution</w:t>
      </w:r>
      <w:r w:rsidRPr="002E196B">
        <w:rPr>
          <w:b/>
          <w:bCs/>
        </w:rPr>
        <w:t xml:space="preserve"> 902 (</w:t>
      </w:r>
      <w:r w:rsidR="00DE38A9" w:rsidRPr="002E196B">
        <w:rPr>
          <w:b/>
          <w:bCs/>
        </w:rPr>
        <w:t>Rev.</w:t>
      </w:r>
      <w:r w:rsidRPr="002E196B">
        <w:rPr>
          <w:b/>
          <w:bCs/>
        </w:rPr>
        <w:t>WRC-</w:t>
      </w:r>
      <w:r w:rsidR="00CD2FD4" w:rsidRPr="002E196B">
        <w:rPr>
          <w:b/>
          <w:bCs/>
        </w:rPr>
        <w:t>2</w:t>
      </w:r>
      <w:r w:rsidRPr="002E196B">
        <w:rPr>
          <w:b/>
          <w:bCs/>
        </w:rPr>
        <w:t>3)</w:t>
      </w:r>
      <w:r w:rsidRPr="002E196B">
        <w:t xml:space="preserve"> provides for a </w:t>
      </w:r>
      <w:r w:rsidR="003A3DD1" w:rsidRPr="002E196B">
        <w:t xml:space="preserve">minimum distances beyond which ship based terminal can operate </w:t>
      </w:r>
      <w:r w:rsidR="00973E07" w:rsidRPr="002E196B">
        <w:t xml:space="preserve">without </w:t>
      </w:r>
      <w:r w:rsidR="003A3DD1" w:rsidRPr="002E196B">
        <w:t xml:space="preserve">prior </w:t>
      </w:r>
      <w:r w:rsidR="00973E07" w:rsidRPr="002E196B">
        <w:t>agreement</w:t>
      </w:r>
      <w:r w:rsidR="003A3DD1" w:rsidRPr="002E196B">
        <w:t xml:space="preserve"> </w:t>
      </w:r>
      <w:r w:rsidRPr="002E196B">
        <w:t xml:space="preserve">to protect the </w:t>
      </w:r>
      <w:r w:rsidRPr="002E196B">
        <w:rPr>
          <w:bCs/>
        </w:rPr>
        <w:t xml:space="preserve">Fixed </w:t>
      </w:r>
      <w:r w:rsidR="00960DAF" w:rsidRPr="002E196B">
        <w:t xml:space="preserve">and Mobile </w:t>
      </w:r>
      <w:r w:rsidRPr="002E196B">
        <w:rPr>
          <w:bCs/>
        </w:rPr>
        <w:t>Service</w:t>
      </w:r>
      <w:r w:rsidRPr="002E196B">
        <w:t xml:space="preserve"> (in Ku-band this is 125 km from the low-water mark of a country where FS links exists)</w:t>
      </w:r>
      <w:r w:rsidR="001E4CFB" w:rsidRPr="002E196B">
        <w:t xml:space="preserve">. </w:t>
      </w:r>
      <w:r w:rsidR="00053CE4" w:rsidRPr="002E196B">
        <w:t xml:space="preserve">Any transmissions from </w:t>
      </w:r>
      <w:r w:rsidR="00600BED" w:rsidRPr="002E196B">
        <w:t>ship-based</w:t>
      </w:r>
      <w:r w:rsidR="00053CE4" w:rsidRPr="002E196B">
        <w:t xml:space="preserve"> terminals within the minimum distance of 125km shall be subject to the prior agreement of the concerned administration. </w:t>
      </w:r>
      <w:r w:rsidR="00960DAF" w:rsidRPr="002E196B">
        <w:t xml:space="preserve">It is </w:t>
      </w:r>
      <w:r w:rsidR="006149AB" w:rsidRPr="002E196B">
        <w:t>note</w:t>
      </w:r>
      <w:r w:rsidR="00960DAF" w:rsidRPr="002E196B">
        <w:t>d</w:t>
      </w:r>
      <w:r w:rsidR="006149AB" w:rsidRPr="002E196B">
        <w:t xml:space="preserve"> that such “concerned” country is one that has microwave links in operations under the Fixed </w:t>
      </w:r>
      <w:r w:rsidR="00960DAF" w:rsidRPr="002E196B">
        <w:t xml:space="preserve">and Mobile </w:t>
      </w:r>
      <w:r w:rsidR="006149AB" w:rsidRPr="002E196B">
        <w:t>Service allocation in 14.0-14.5 GHz.</w:t>
      </w:r>
    </w:p>
    <w:p w14:paraId="1436085C" w14:textId="77777777" w:rsidR="00053CE4" w:rsidRPr="002E196B" w:rsidRDefault="00053CE4" w:rsidP="0081367A">
      <w:pPr>
        <w:jc w:val="both"/>
      </w:pPr>
    </w:p>
    <w:p w14:paraId="1DF2D9A5" w14:textId="53FEBBB2" w:rsidR="00053CE4" w:rsidRPr="002E196B" w:rsidRDefault="00053CE4" w:rsidP="00600BED">
      <w:pPr>
        <w:jc w:val="both"/>
        <w:rPr>
          <w:strike/>
        </w:rPr>
      </w:pPr>
      <w:r w:rsidRPr="002E196B">
        <w:t xml:space="preserve">It is important to note that the minimum distance of 125km from the low-water mark was developed at WRC-03 and considered GSO systems for the studies. </w:t>
      </w:r>
    </w:p>
    <w:p w14:paraId="559B3406" w14:textId="77777777" w:rsidR="00B26580" w:rsidRPr="002E196B" w:rsidRDefault="00B26580" w:rsidP="00552D30">
      <w:pPr>
        <w:rPr>
          <w:b/>
          <w:bCs/>
        </w:rPr>
      </w:pPr>
    </w:p>
    <w:p w14:paraId="371D970F" w14:textId="77777777" w:rsidR="001E78C4" w:rsidRPr="002E196B" w:rsidRDefault="001E78C4" w:rsidP="00552D30">
      <w:pPr>
        <w:rPr>
          <w:b/>
          <w:bCs/>
        </w:rPr>
      </w:pPr>
    </w:p>
    <w:p w14:paraId="3E279B07" w14:textId="030AAB2F" w:rsidR="00F13A69" w:rsidRPr="002E196B" w:rsidRDefault="00A041C0" w:rsidP="007E52C1">
      <w:pPr>
        <w:pStyle w:val="Header1"/>
      </w:pPr>
      <w:bookmarkStart w:id="8" w:name="_Toc160797078"/>
      <w:r w:rsidRPr="002E196B">
        <w:t>Technical a</w:t>
      </w:r>
      <w:r w:rsidR="00F13A69" w:rsidRPr="002E196B">
        <w:t xml:space="preserve">nalysis of NGSO </w:t>
      </w:r>
      <w:r w:rsidRPr="002E196B">
        <w:t>e</w:t>
      </w:r>
      <w:r w:rsidR="00F13A69" w:rsidRPr="002E196B">
        <w:t>arth station terminals on aircraft</w:t>
      </w:r>
      <w:r w:rsidR="00717ED4" w:rsidRPr="002E196B">
        <w:t>s</w:t>
      </w:r>
      <w:bookmarkEnd w:id="8"/>
    </w:p>
    <w:p w14:paraId="2EC562EC" w14:textId="77777777" w:rsidR="00F701F0" w:rsidRPr="002E196B" w:rsidRDefault="00717ED4" w:rsidP="00B62D19">
      <w:pPr>
        <w:pStyle w:val="Header2"/>
        <w:ind w:left="720" w:hanging="720"/>
      </w:pPr>
      <w:bookmarkStart w:id="9" w:name="_Toc160797079"/>
      <w:r w:rsidRPr="002E196B">
        <w:t>NGSO earth station terminals on aircrafts</w:t>
      </w:r>
      <w:bookmarkEnd w:id="9"/>
    </w:p>
    <w:p w14:paraId="316A4580" w14:textId="1A71440B" w:rsidR="005C67DA" w:rsidRPr="002E196B" w:rsidRDefault="00F13A69" w:rsidP="007E52C1">
      <w:pPr>
        <w:jc w:val="both"/>
      </w:pPr>
      <w:r w:rsidRPr="002E196B">
        <w:t>C</w:t>
      </w:r>
      <w:r w:rsidR="005C67DA" w:rsidRPr="002E196B">
        <w:t xml:space="preserve">urrently, the operation of </w:t>
      </w:r>
      <w:r w:rsidR="00717ED4" w:rsidRPr="002E196B">
        <w:t>e</w:t>
      </w:r>
      <w:r w:rsidR="005C67DA" w:rsidRPr="002E196B">
        <w:t xml:space="preserve">arth station on </w:t>
      </w:r>
      <w:r w:rsidR="00717ED4" w:rsidRPr="002E196B">
        <w:t xml:space="preserve">aircraft </w:t>
      </w:r>
      <w:r w:rsidR="000A7884" w:rsidRPr="002E196B">
        <w:t xml:space="preserve">is recognized </w:t>
      </w:r>
      <w:r w:rsidR="005C67DA" w:rsidRPr="002E196B">
        <w:t>as Aircraft Earth Stations (AES)</w:t>
      </w:r>
      <w:r w:rsidR="00AE2F0A" w:rsidRPr="002E196B">
        <w:t xml:space="preserve">, </w:t>
      </w:r>
      <w:r w:rsidR="005C67DA" w:rsidRPr="002E196B">
        <w:t>which as per WRC-</w:t>
      </w:r>
      <w:r w:rsidR="009B2D0E" w:rsidRPr="002E196B">
        <w:t>20</w:t>
      </w:r>
      <w:r w:rsidR="005C67DA" w:rsidRPr="002E196B">
        <w:t xml:space="preserve">03 are associated to satellite networks in the secondary MSS allocation at 14.0-14.5 GHz (see also definition of AES in provision No. </w:t>
      </w:r>
      <w:r w:rsidR="005C67DA" w:rsidRPr="002E196B">
        <w:rPr>
          <w:b/>
        </w:rPr>
        <w:t>1.84</w:t>
      </w:r>
      <w:r w:rsidR="005C67DA" w:rsidRPr="002E196B">
        <w:t xml:space="preserve"> of the ITU RR).</w:t>
      </w:r>
    </w:p>
    <w:p w14:paraId="54F91CDC" w14:textId="77777777" w:rsidR="005C67DA" w:rsidRPr="002E196B" w:rsidRDefault="005C67DA" w:rsidP="00552D30">
      <w:pPr>
        <w:ind w:left="720"/>
      </w:pPr>
    </w:p>
    <w:p w14:paraId="73D50A32" w14:textId="5EA95A1A" w:rsidR="005C67DA" w:rsidRPr="002E196B" w:rsidRDefault="005C67DA" w:rsidP="007E52C1">
      <w:pPr>
        <w:jc w:val="both"/>
      </w:pPr>
      <w:r w:rsidRPr="002E196B">
        <w:t xml:space="preserve">The related ITU </w:t>
      </w:r>
      <w:r w:rsidR="00AE2F0A" w:rsidRPr="002E196B">
        <w:t>provisions</w:t>
      </w:r>
      <w:r w:rsidRPr="002E196B">
        <w:t xml:space="preserve"> and </w:t>
      </w:r>
      <w:r w:rsidR="008576DD" w:rsidRPr="002E196B">
        <w:t xml:space="preserve">Recommendation </w:t>
      </w:r>
      <w:r w:rsidR="00AE2F0A" w:rsidRPr="002E196B">
        <w:t xml:space="preserve">ITU-R M.1643 </w:t>
      </w:r>
      <w:r w:rsidRPr="002E196B">
        <w:t>were studied and proposed for AES that operate</w:t>
      </w:r>
      <w:r w:rsidR="005A1AB8" w:rsidRPr="002E196B">
        <w:t>s</w:t>
      </w:r>
      <w:r w:rsidRPr="002E196B">
        <w:t xml:space="preserve"> in the aeronautical mobile-satellite service (AMSS) secondary allocation. For example, </w:t>
      </w:r>
      <w:r w:rsidR="008576DD" w:rsidRPr="002E196B">
        <w:t xml:space="preserve">Recommendation </w:t>
      </w:r>
      <w:r w:rsidRPr="002E196B">
        <w:t>ITU-R M.1643 provides the PFD limit mask for AESs, required to protect the microwave-link receivers operating in the Fixed Service allocation in 14.0-14.5 GHz.</w:t>
      </w:r>
    </w:p>
    <w:p w14:paraId="2C8E6BD5" w14:textId="77777777" w:rsidR="005C67DA" w:rsidRPr="002E196B" w:rsidRDefault="005C67DA" w:rsidP="00552D30">
      <w:pPr>
        <w:ind w:left="720"/>
      </w:pPr>
    </w:p>
    <w:p w14:paraId="6ECB8A11" w14:textId="3747325C" w:rsidR="005C67DA" w:rsidRPr="002E196B" w:rsidRDefault="005C67DA" w:rsidP="007E52C1">
      <w:pPr>
        <w:jc w:val="both"/>
      </w:pPr>
      <w:r w:rsidRPr="002E196B">
        <w:t xml:space="preserve">It was also recognized (through </w:t>
      </w:r>
      <w:r w:rsidR="007905C1" w:rsidRPr="002E196B">
        <w:t xml:space="preserve">RR. </w:t>
      </w:r>
      <w:r w:rsidRPr="002E196B">
        <w:t xml:space="preserve">No. </w:t>
      </w:r>
      <w:r w:rsidRPr="002E196B">
        <w:rPr>
          <w:b/>
          <w:bCs/>
        </w:rPr>
        <w:t>5.504A</w:t>
      </w:r>
      <w:r w:rsidRPr="002E196B">
        <w:t>) that AES can operate in the AMSS allocation using transponder of satellites whose assignments are filed under the FSS operating in the band 14</w:t>
      </w:r>
      <w:r w:rsidRPr="002E196B">
        <w:noBreakHyphen/>
        <w:t>14.5 GHz (Earth</w:t>
      </w:r>
      <w:r w:rsidRPr="002E196B">
        <w:noBreakHyphen/>
        <w:t>to-space), but without any priority over other GSO FSS systems.</w:t>
      </w:r>
      <w:r w:rsidR="001F4F21" w:rsidRPr="002E196B">
        <w:t xml:space="preserve"> This means that the AES are not operating </w:t>
      </w:r>
      <w:r w:rsidR="00DB6B43" w:rsidRPr="002E196B">
        <w:t>within</w:t>
      </w:r>
      <w:r w:rsidR="001F4F21" w:rsidRPr="002E196B">
        <w:t xml:space="preserve"> a service in a primary allocation</w:t>
      </w:r>
      <w:r w:rsidR="00E42E02" w:rsidRPr="002E196B">
        <w:t xml:space="preserve"> </w:t>
      </w:r>
      <w:r w:rsidR="00DB6B43" w:rsidRPr="002E196B">
        <w:t>but are</w:t>
      </w:r>
      <w:r w:rsidR="001F4F21" w:rsidRPr="002E196B">
        <w:t xml:space="preserve"> operating </w:t>
      </w:r>
      <w:r w:rsidR="00EA07A2" w:rsidRPr="002E196B">
        <w:t>within</w:t>
      </w:r>
      <w:r w:rsidR="001F4F21" w:rsidRPr="002E196B">
        <w:t xml:space="preserve"> mobile satellite service in a secondary allocation.</w:t>
      </w:r>
    </w:p>
    <w:p w14:paraId="117C9727" w14:textId="77777777" w:rsidR="005C67DA" w:rsidRPr="002E196B" w:rsidRDefault="005C67DA" w:rsidP="00552D30">
      <w:pPr>
        <w:ind w:left="720"/>
      </w:pPr>
    </w:p>
    <w:p w14:paraId="73BF7913" w14:textId="7C259E87" w:rsidR="005C67DA" w:rsidRDefault="00E93EE8" w:rsidP="007E52C1">
      <w:pPr>
        <w:jc w:val="both"/>
      </w:pPr>
      <w:r w:rsidRPr="002E196B">
        <w:lastRenderedPageBreak/>
        <w:t>It is</w:t>
      </w:r>
      <w:r w:rsidR="005C67DA" w:rsidRPr="002E196B">
        <w:t xml:space="preserve"> note</w:t>
      </w:r>
      <w:r w:rsidRPr="002E196B">
        <w:t>d</w:t>
      </w:r>
      <w:r w:rsidR="005C67DA" w:rsidRPr="002E196B">
        <w:t xml:space="preserve"> that </w:t>
      </w:r>
      <w:r w:rsidR="008576DD" w:rsidRPr="002E196B">
        <w:t xml:space="preserve">Recommendation </w:t>
      </w:r>
      <w:r w:rsidR="001F4F21" w:rsidRPr="002E196B">
        <w:t xml:space="preserve">ITU-R </w:t>
      </w:r>
      <w:r w:rsidR="00276B59" w:rsidRPr="002E196B">
        <w:t>M.</w:t>
      </w:r>
      <w:r w:rsidR="001F4F21" w:rsidRPr="002E196B">
        <w:t xml:space="preserve">1643 </w:t>
      </w:r>
      <w:r w:rsidR="005C67DA" w:rsidRPr="002E196B">
        <w:t xml:space="preserve">was developed in 2002-2003 specifically for AES terminals operating to </w:t>
      </w:r>
      <w:r w:rsidRPr="002E196B">
        <w:t>satellite</w:t>
      </w:r>
      <w:r w:rsidR="005C67DA" w:rsidRPr="002E196B">
        <w:t xml:space="preserve"> networks operating in the secondary MSS allocation. </w:t>
      </w:r>
      <w:r w:rsidR="00972782" w:rsidRPr="002E196B">
        <w:t>The NGSO terminals in this document operate un</w:t>
      </w:r>
      <w:r w:rsidR="00F3456F" w:rsidRPr="002E196B">
        <w:t>der</w:t>
      </w:r>
      <w:r w:rsidR="00972782" w:rsidRPr="002E196B">
        <w:t xml:space="preserve"> the co-primary FSS allocation.</w:t>
      </w:r>
    </w:p>
    <w:p w14:paraId="05C653DE" w14:textId="77777777" w:rsidR="00F450C6" w:rsidRPr="002E196B" w:rsidRDefault="00F450C6" w:rsidP="007E52C1">
      <w:pPr>
        <w:jc w:val="both"/>
      </w:pPr>
    </w:p>
    <w:p w14:paraId="4BA8B687" w14:textId="6536978A" w:rsidR="00717ED4" w:rsidRPr="002E196B" w:rsidRDefault="00717ED4" w:rsidP="00B62D19">
      <w:pPr>
        <w:pStyle w:val="Header2"/>
        <w:ind w:left="720" w:hanging="720"/>
        <w:rPr>
          <w:i/>
          <w:iCs/>
        </w:rPr>
      </w:pPr>
      <w:bookmarkStart w:id="10" w:name="_Toc160797080"/>
      <w:r w:rsidRPr="002E196B">
        <w:t xml:space="preserve">Interference </w:t>
      </w:r>
      <w:r w:rsidR="001129CE" w:rsidRPr="002E196B">
        <w:t xml:space="preserve">potential of a </w:t>
      </w:r>
      <w:r w:rsidR="00F10344" w:rsidRPr="002E196B">
        <w:t>specific</w:t>
      </w:r>
      <w:r w:rsidR="009D58D0" w:rsidRPr="002E196B">
        <w:t xml:space="preserve"> </w:t>
      </w:r>
      <w:r w:rsidRPr="002E196B">
        <w:t xml:space="preserve">NGSO </w:t>
      </w:r>
      <w:r w:rsidR="0068058E" w:rsidRPr="002E196B">
        <w:t>E</w:t>
      </w:r>
      <w:r w:rsidRPr="002E196B">
        <w:t xml:space="preserve">arth </w:t>
      </w:r>
      <w:r w:rsidR="0068058E" w:rsidRPr="002E196B">
        <w:t>S</w:t>
      </w:r>
      <w:r w:rsidRPr="002E196B">
        <w:t xml:space="preserve">tation </w:t>
      </w:r>
      <w:r w:rsidR="0068058E" w:rsidRPr="002E196B">
        <w:t>T</w:t>
      </w:r>
      <w:r w:rsidRPr="002E196B">
        <w:t>erminal on</w:t>
      </w:r>
      <w:r w:rsidR="008576DD" w:rsidRPr="002E196B">
        <w:t xml:space="preserve"> </w:t>
      </w:r>
      <w:r w:rsidRPr="002E196B">
        <w:t>aircraft</w:t>
      </w:r>
      <w:r w:rsidR="00927ACF" w:rsidRPr="002E196B">
        <w:t>s</w:t>
      </w:r>
      <w:r w:rsidR="001129CE" w:rsidRPr="002E196B">
        <w:t xml:space="preserve"> into FS</w:t>
      </w:r>
      <w:bookmarkEnd w:id="10"/>
    </w:p>
    <w:p w14:paraId="3DD58452" w14:textId="6D7B9DF4" w:rsidR="00EC2302" w:rsidRPr="002E196B" w:rsidRDefault="00927ACF" w:rsidP="00EC2302">
      <w:pPr>
        <w:jc w:val="both"/>
        <w:rPr>
          <w:lang w:eastAsia="ko-KR"/>
        </w:rPr>
      </w:pPr>
      <w:r w:rsidRPr="002E196B">
        <w:t xml:space="preserve">As described Section 4, NGSO earth station terminals </w:t>
      </w:r>
      <w:proofErr w:type="gramStart"/>
      <w:r w:rsidRPr="002E196B">
        <w:t xml:space="preserve">have </w:t>
      </w:r>
      <w:r w:rsidR="001129CE" w:rsidRPr="002E196B">
        <w:t>to</w:t>
      </w:r>
      <w:proofErr w:type="gramEnd"/>
      <w:r w:rsidR="001129CE" w:rsidRPr="002E196B">
        <w:t xml:space="preserve"> comply with</w:t>
      </w:r>
      <w:r w:rsidRPr="002E196B">
        <w:t xml:space="preserve"> EIRP/</w:t>
      </w:r>
      <w:proofErr w:type="spellStart"/>
      <w:r w:rsidRPr="002E196B">
        <w:t>EIRPsd</w:t>
      </w:r>
      <w:proofErr w:type="spellEnd"/>
      <w:r w:rsidRPr="002E196B">
        <w:t xml:space="preserve"> toward horizon </w:t>
      </w:r>
      <w:r w:rsidR="001129CE" w:rsidRPr="002E196B">
        <w:t>in the same way as all other FSS</w:t>
      </w:r>
      <w:r w:rsidRPr="002E196B">
        <w:t xml:space="preserve">. </w:t>
      </w:r>
      <w:r w:rsidR="001129CE" w:rsidRPr="002E196B">
        <w:t xml:space="preserve">It is noted </w:t>
      </w:r>
      <w:r w:rsidR="007C147B" w:rsidRPr="002E196B">
        <w:t>that</w:t>
      </w:r>
      <w:r w:rsidRPr="002E196B">
        <w:t xml:space="preserve"> NGSO earth station terminals are dynamically tracking the NGSO satellites</w:t>
      </w:r>
      <w:r w:rsidR="00A94F89" w:rsidRPr="002E196B">
        <w:t>,</w:t>
      </w:r>
      <w:r w:rsidRPr="002E196B">
        <w:t xml:space="preserve"> and the </w:t>
      </w:r>
      <w:r w:rsidR="009A63D8" w:rsidRPr="002E196B">
        <w:t>calculated</w:t>
      </w:r>
      <w:r w:rsidR="00B62D19" w:rsidRPr="002E196B">
        <w:t xml:space="preserve"> </w:t>
      </w:r>
      <w:r w:rsidRPr="002E196B">
        <w:t>geometry is nevertheless with a time percentage which is extremely low as well</w:t>
      </w:r>
      <w:proofErr w:type="gramStart"/>
      <w:r w:rsidRPr="002E196B">
        <w:t>. .</w:t>
      </w:r>
      <w:proofErr w:type="gramEnd"/>
    </w:p>
    <w:p w14:paraId="290BCA34" w14:textId="43420EDD" w:rsidR="00D70F0F" w:rsidRPr="002E196B" w:rsidRDefault="00D70F0F" w:rsidP="007E52C1">
      <w:pPr>
        <w:jc w:val="both"/>
      </w:pPr>
    </w:p>
    <w:p w14:paraId="6E2E9000" w14:textId="79CC3BE7" w:rsidR="00153782" w:rsidRPr="002E196B" w:rsidRDefault="00153782" w:rsidP="007E52C1">
      <w:pPr>
        <w:jc w:val="both"/>
      </w:pPr>
      <w:r w:rsidRPr="002E196B">
        <w:t>Also, the CEPT studied the protection of FS links in a country,</w:t>
      </w:r>
      <w:r w:rsidR="00D70F0F" w:rsidRPr="002E196B">
        <w:t xml:space="preserve"> using ITU methodology and parameters (see section 6 below),</w:t>
      </w:r>
      <w:r w:rsidRPr="002E196B">
        <w:t xml:space="preserve"> from aeronautical equipment, and concluded that a new </w:t>
      </w:r>
      <w:r w:rsidRPr="002E196B">
        <w:rPr>
          <w:bCs/>
        </w:rPr>
        <w:t>PFD mask</w:t>
      </w:r>
      <w:r w:rsidRPr="002E196B">
        <w:t>, which is relaxed value from Recommendation ITU-R M.1643 as described in Section 6.</w:t>
      </w:r>
    </w:p>
    <w:p w14:paraId="0B573A54" w14:textId="77777777" w:rsidR="00153782" w:rsidRPr="002E196B" w:rsidRDefault="00153782" w:rsidP="00552D30">
      <w:pPr>
        <w:rPr>
          <w:b/>
          <w:bCs/>
        </w:rPr>
      </w:pPr>
    </w:p>
    <w:p w14:paraId="0983BDED" w14:textId="77777777" w:rsidR="00803CC4" w:rsidRPr="002E196B" w:rsidRDefault="00803CC4" w:rsidP="00552D30">
      <w:pPr>
        <w:rPr>
          <w:b/>
          <w:bCs/>
        </w:rPr>
      </w:pPr>
    </w:p>
    <w:p w14:paraId="2C655267" w14:textId="40D68A89" w:rsidR="00927ACF" w:rsidRPr="002E196B" w:rsidRDefault="00927ACF" w:rsidP="007E52C1">
      <w:pPr>
        <w:pStyle w:val="Header1"/>
      </w:pPr>
      <w:bookmarkStart w:id="11" w:name="_Toc160797081"/>
      <w:r w:rsidRPr="002E196B">
        <w:t>Example of technical conditions for the use of NGSO earth station in other region</w:t>
      </w:r>
      <w:r w:rsidR="0058262C" w:rsidRPr="002E196B">
        <w:t>s</w:t>
      </w:r>
      <w:bookmarkEnd w:id="11"/>
    </w:p>
    <w:p w14:paraId="4DC6EC8B" w14:textId="0C8E708F" w:rsidR="00927ACF" w:rsidRPr="002E196B" w:rsidRDefault="00927ACF" w:rsidP="007905C1">
      <w:pPr>
        <w:jc w:val="both"/>
      </w:pPr>
      <w:r w:rsidRPr="002E196B">
        <w:t xml:space="preserve">CEPT conducted studies between 2016 to 2021, which considered Fixed Service parameters taken from </w:t>
      </w:r>
      <w:r w:rsidR="008576DD" w:rsidRPr="002E196B">
        <w:rPr>
          <w:bCs/>
        </w:rPr>
        <w:t xml:space="preserve">Recommendation </w:t>
      </w:r>
      <w:r w:rsidRPr="002E196B">
        <w:t xml:space="preserve">ITU-R F.758-6 and ITU compatibility methodologies taken from </w:t>
      </w:r>
      <w:r w:rsidR="008576DD" w:rsidRPr="002E196B">
        <w:t xml:space="preserve">Recommendation </w:t>
      </w:r>
      <w:r w:rsidRPr="002E196B">
        <w:rPr>
          <w:bCs/>
        </w:rPr>
        <w:t xml:space="preserve">ITU-R </w:t>
      </w:r>
      <w:r w:rsidRPr="002E196B">
        <w:t xml:space="preserve">SF.1650, and which developed and concluded a NGSO Earth station terminal PFD mask to protect FS microwave links. </w:t>
      </w:r>
      <w:r w:rsidR="001430E0" w:rsidRPr="002E196B">
        <w:t xml:space="preserve">The PFD mask </w:t>
      </w:r>
      <w:r w:rsidR="007905C1" w:rsidRPr="002E196B">
        <w:t>is</w:t>
      </w:r>
      <w:r w:rsidR="001430E0" w:rsidRPr="002E196B">
        <w:t xml:space="preserve"> as shown in </w:t>
      </w:r>
      <w:r w:rsidR="00425190" w:rsidRPr="002E196B">
        <w:t>Annex</w:t>
      </w:r>
      <w:r w:rsidR="001430E0" w:rsidRPr="002E196B">
        <w:t xml:space="preserve"> </w:t>
      </w:r>
      <w:r w:rsidR="007C147B" w:rsidRPr="002E196B">
        <w:t>2.</w:t>
      </w:r>
    </w:p>
    <w:p w14:paraId="636D63D1" w14:textId="77777777" w:rsidR="00927ACF" w:rsidRPr="002E196B" w:rsidRDefault="00927ACF" w:rsidP="00552D30"/>
    <w:p w14:paraId="5340D0AC" w14:textId="22BE55C7" w:rsidR="00927ACF" w:rsidRPr="002E196B" w:rsidRDefault="00F10344" w:rsidP="007E52C1">
      <w:pPr>
        <w:jc w:val="both"/>
      </w:pPr>
      <w:r w:rsidRPr="002E196B">
        <w:t>I</w:t>
      </w:r>
      <w:r w:rsidR="00927ACF" w:rsidRPr="002E196B">
        <w:t>n</w:t>
      </w:r>
      <w:r w:rsidR="00927ACF" w:rsidRPr="002E196B">
        <w:rPr>
          <w:u w:val="single"/>
        </w:rPr>
        <w:t xml:space="preserve"> </w:t>
      </w:r>
      <w:r w:rsidR="00927ACF" w:rsidRPr="002E196B">
        <w:rPr>
          <w:rFonts w:eastAsia="MS Mincho"/>
          <w:lang w:eastAsia="ja-JP"/>
        </w:rPr>
        <w:t>relation</w:t>
      </w:r>
      <w:r w:rsidR="00927ACF" w:rsidRPr="002E196B">
        <w:t xml:space="preserve"> to the NGSO earth station terminals in the 14.0-14.5 GHz frequency range, the ECC has developed the following instruments:</w:t>
      </w:r>
    </w:p>
    <w:p w14:paraId="1BAAEDF2" w14:textId="5E32AD3E" w:rsidR="00927ACF" w:rsidRPr="002E196B" w:rsidRDefault="00927ACF" w:rsidP="00425190">
      <w:pPr>
        <w:pStyle w:val="ListParagraph"/>
        <w:numPr>
          <w:ilvl w:val="0"/>
          <w:numId w:val="17"/>
        </w:numPr>
      </w:pPr>
      <w:r w:rsidRPr="002E196B">
        <w:rPr>
          <w:b/>
          <w:bCs/>
        </w:rPr>
        <w:t>ECC Decision (18)05</w:t>
      </w:r>
      <w:r w:rsidR="00260F08" w:rsidRPr="002E196B">
        <w:rPr>
          <w:rStyle w:val="FootnoteReference"/>
          <w:b/>
          <w:bCs/>
        </w:rPr>
        <w:footnoteReference w:id="3"/>
      </w:r>
      <w:r w:rsidRPr="002E196B">
        <w:t xml:space="preserve"> – decision to allow spectrum-use, free circulation, and individual licence exemption NGSO terminals on airplane, ships and vehicles.</w:t>
      </w:r>
    </w:p>
    <w:p w14:paraId="07772DC4" w14:textId="71DB3502" w:rsidR="00927ACF" w:rsidRPr="002E196B" w:rsidRDefault="00927ACF" w:rsidP="00425190">
      <w:pPr>
        <w:pStyle w:val="ListParagraph"/>
        <w:numPr>
          <w:ilvl w:val="0"/>
          <w:numId w:val="17"/>
        </w:numPr>
      </w:pPr>
      <w:r w:rsidRPr="002E196B">
        <w:rPr>
          <w:b/>
          <w:bCs/>
        </w:rPr>
        <w:t>ECC Report 271</w:t>
      </w:r>
      <w:r w:rsidR="00260F08" w:rsidRPr="002E196B">
        <w:rPr>
          <w:rStyle w:val="FootnoteReference"/>
          <w:b/>
          <w:bCs/>
        </w:rPr>
        <w:footnoteReference w:id="4"/>
      </w:r>
      <w:r w:rsidRPr="002E196B">
        <w:t xml:space="preserve"> – technical compatibility </w:t>
      </w:r>
      <w:r w:rsidR="0058262C" w:rsidRPr="002E196B">
        <w:t>report.</w:t>
      </w:r>
    </w:p>
    <w:p w14:paraId="02236B4F" w14:textId="40B3918D" w:rsidR="00927ACF" w:rsidRPr="002E196B" w:rsidRDefault="00927ACF" w:rsidP="00425190">
      <w:pPr>
        <w:pStyle w:val="ListParagraph"/>
        <w:numPr>
          <w:ilvl w:val="0"/>
          <w:numId w:val="17"/>
        </w:numPr>
      </w:pPr>
      <w:r w:rsidRPr="002E196B">
        <w:rPr>
          <w:b/>
          <w:bCs/>
        </w:rPr>
        <w:t>ECC Report 279</w:t>
      </w:r>
      <w:r w:rsidR="00260F08" w:rsidRPr="002E196B">
        <w:rPr>
          <w:rStyle w:val="FootnoteReference"/>
          <w:b/>
          <w:bCs/>
        </w:rPr>
        <w:footnoteReference w:id="5"/>
      </w:r>
      <w:r w:rsidRPr="002E196B">
        <w:t xml:space="preserve"> – regulatory framework as to why all NGSO equipment terminals are considered part of the FSS co-primary allocation.</w:t>
      </w:r>
    </w:p>
    <w:p w14:paraId="23D86488" w14:textId="77777777" w:rsidR="00927ACF" w:rsidRPr="002E196B" w:rsidRDefault="00927ACF" w:rsidP="00552D30"/>
    <w:p w14:paraId="3F957D0A" w14:textId="018D7F9F" w:rsidR="00927ACF" w:rsidRPr="002E196B" w:rsidRDefault="00927ACF" w:rsidP="007E52C1">
      <w:pPr>
        <w:jc w:val="both"/>
      </w:pPr>
      <w:r w:rsidRPr="002E196B">
        <w:t xml:space="preserve">And </w:t>
      </w:r>
      <w:r w:rsidRPr="002E196B">
        <w:rPr>
          <w:rFonts w:eastAsia="MS Mincho"/>
          <w:lang w:eastAsia="ja-JP"/>
        </w:rPr>
        <w:t>ETSI</w:t>
      </w:r>
      <w:r w:rsidRPr="002E196B">
        <w:t xml:space="preserve"> has developed the harmonized standard for the NGSO Earth stations </w:t>
      </w:r>
      <w:r w:rsidRPr="002E196B">
        <w:rPr>
          <w:b/>
        </w:rPr>
        <w:t>EN 303 980</w:t>
      </w:r>
      <w:r w:rsidRPr="002E196B">
        <w:t>, referred to into the above document.</w:t>
      </w:r>
    </w:p>
    <w:p w14:paraId="64EACBFC" w14:textId="77777777" w:rsidR="00927ACF" w:rsidRPr="002E196B" w:rsidRDefault="00927ACF" w:rsidP="00552D30">
      <w:pPr>
        <w:ind w:left="360"/>
      </w:pPr>
    </w:p>
    <w:p w14:paraId="1EA07D35" w14:textId="14E07BB6" w:rsidR="00927ACF" w:rsidRPr="002E196B" w:rsidRDefault="00927ACF" w:rsidP="007E52C1">
      <w:pPr>
        <w:jc w:val="both"/>
      </w:pPr>
      <w:r w:rsidRPr="002E196B">
        <w:t xml:space="preserve">Furthermore, ECC developed ECC Report 272, which demonstrates that a NGSO terminal of EIRP less than 54.5 </w:t>
      </w:r>
      <w:proofErr w:type="spellStart"/>
      <w:r w:rsidRPr="002E196B">
        <w:t>dBW</w:t>
      </w:r>
      <w:proofErr w:type="spellEnd"/>
      <w:r w:rsidRPr="002E196B">
        <w:t xml:space="preserve"> can be installed on the ground anywhere near and anywhere inside any airport; installed on any airpla</w:t>
      </w:r>
      <w:r w:rsidR="00942E8A" w:rsidRPr="002E196B">
        <w:t>n</w:t>
      </w:r>
      <w:r w:rsidRPr="002E196B">
        <w:t xml:space="preserve">e, operate on an airplane from gate-to-gate (meaning at the gate, at the terminal, during taxiing, </w:t>
      </w:r>
      <w:r w:rsidR="0081367A" w:rsidRPr="002E196B">
        <w:t>takeoff</w:t>
      </w:r>
      <w:r w:rsidRPr="002E196B">
        <w:t xml:space="preserve"> and landing) without causing any EMC issues to avionics, and airplanes. </w:t>
      </w:r>
    </w:p>
    <w:p w14:paraId="497B5182" w14:textId="39AD97DE" w:rsidR="006C0160" w:rsidRPr="002E196B" w:rsidRDefault="006C0160">
      <w:pPr>
        <w:spacing w:after="160" w:line="259" w:lineRule="auto"/>
        <w:rPr>
          <w:b/>
          <w:bCs/>
        </w:rPr>
      </w:pPr>
    </w:p>
    <w:p w14:paraId="037C0C25" w14:textId="51EB4322" w:rsidR="005C67DA" w:rsidRPr="002E196B" w:rsidRDefault="005C67DA" w:rsidP="007E52C1">
      <w:pPr>
        <w:pStyle w:val="Header1"/>
        <w:rPr>
          <w:lang w:val="de-DE"/>
        </w:rPr>
      </w:pPr>
      <w:bookmarkStart w:id="12" w:name="_Toc160797082"/>
      <w:r w:rsidRPr="002E196B">
        <w:rPr>
          <w:lang w:val="de-DE"/>
        </w:rPr>
        <w:t>Current Ku Band usage in APT</w:t>
      </w:r>
      <w:bookmarkEnd w:id="12"/>
    </w:p>
    <w:p w14:paraId="6D7C4190" w14:textId="7F7C7C6C" w:rsidR="005C67DA" w:rsidRPr="002E196B" w:rsidRDefault="006C0160" w:rsidP="007E52C1">
      <w:pPr>
        <w:jc w:val="both"/>
        <w:rPr>
          <w:rFonts w:eastAsia="MS Mincho"/>
          <w:lang w:eastAsia="ja-JP"/>
        </w:rPr>
      </w:pPr>
      <w:bookmarkStart w:id="13" w:name="_Hlk50106051"/>
      <w:r w:rsidRPr="002E196B">
        <w:rPr>
          <w:rFonts w:eastAsia="MS Mincho"/>
          <w:lang w:eastAsia="ja-JP"/>
        </w:rPr>
        <w:t xml:space="preserve">Considering that </w:t>
      </w:r>
      <w:r w:rsidR="005C67DA" w:rsidRPr="002E196B">
        <w:rPr>
          <w:rFonts w:eastAsia="MS Mincho"/>
          <w:lang w:eastAsia="ja-JP"/>
        </w:rPr>
        <w:t xml:space="preserve">a recent </w:t>
      </w:r>
      <w:r w:rsidR="005C67DA" w:rsidRPr="002E196B">
        <w:t>APT</w:t>
      </w:r>
      <w:r w:rsidR="005C67DA" w:rsidRPr="002E196B">
        <w:rPr>
          <w:rFonts w:eastAsia="MS Mincho"/>
          <w:lang w:eastAsia="ja-JP"/>
        </w:rPr>
        <w:t xml:space="preserve"> Report </w:t>
      </w:r>
      <w:r w:rsidR="00BA7F82" w:rsidRPr="002E196B">
        <w:rPr>
          <w:rFonts w:eastAsia="MS Mincho"/>
          <w:lang w:eastAsia="ja-JP"/>
        </w:rPr>
        <w:t>on Vehicle Mounted Earth Stations (VMES) operating with GSO FSS networks in the Ku-band in APT countries (APT</w:t>
      </w:r>
      <w:r w:rsidR="00A62AE4" w:rsidRPr="002E196B">
        <w:rPr>
          <w:rFonts w:eastAsia="MS Mincho"/>
          <w:lang w:eastAsia="ja-JP"/>
        </w:rPr>
        <w:t>/AWG</w:t>
      </w:r>
      <w:r w:rsidR="005D396D" w:rsidRPr="002E196B">
        <w:rPr>
          <w:rFonts w:eastAsia="MS Mincho"/>
          <w:lang w:eastAsia="ja-JP"/>
        </w:rPr>
        <w:t>/REP-</w:t>
      </w:r>
      <w:r w:rsidR="005C67DA" w:rsidRPr="002E196B">
        <w:rPr>
          <w:rFonts w:eastAsia="MS Mincho"/>
          <w:lang w:eastAsia="ja-JP"/>
        </w:rPr>
        <w:t>110</w:t>
      </w:r>
      <w:r w:rsidR="005D396D" w:rsidRPr="002E196B">
        <w:rPr>
          <w:rFonts w:eastAsia="MS Mincho"/>
          <w:lang w:eastAsia="ja-JP"/>
        </w:rPr>
        <w:t xml:space="preserve">, </w:t>
      </w:r>
      <w:r w:rsidR="00FB709D" w:rsidRPr="002E196B">
        <w:rPr>
          <w:rFonts w:eastAsia="MS Mincho"/>
          <w:lang w:eastAsia="ja-JP"/>
        </w:rPr>
        <w:t>September 2021)</w:t>
      </w:r>
      <w:r w:rsidR="005C67DA" w:rsidRPr="002E196B">
        <w:rPr>
          <w:rFonts w:eastAsia="MS Mincho"/>
          <w:lang w:eastAsia="ja-JP"/>
        </w:rPr>
        <w:t xml:space="preserve">, frequency usage of each administration in the frequency bands 10.7-12.75 GHz and in the frequency bands 14 – 14.5 </w:t>
      </w:r>
      <w:r w:rsidR="005C67DA" w:rsidRPr="002E196B">
        <w:t>GHz</w:t>
      </w:r>
      <w:r w:rsidR="005C67DA" w:rsidRPr="002E196B">
        <w:rPr>
          <w:rFonts w:eastAsia="MS Mincho"/>
          <w:lang w:eastAsia="ja-JP"/>
        </w:rPr>
        <w:t xml:space="preserve"> has been surveyed and established</w:t>
      </w:r>
      <w:r w:rsidRPr="002E196B">
        <w:rPr>
          <w:rFonts w:eastAsia="MS Mincho"/>
          <w:lang w:eastAsia="ja-JP"/>
        </w:rPr>
        <w:t>, it</w:t>
      </w:r>
      <w:r w:rsidR="005C67DA" w:rsidRPr="002E196B">
        <w:rPr>
          <w:rFonts w:eastAsia="MS Mincho"/>
          <w:lang w:eastAsia="ja-JP"/>
        </w:rPr>
        <w:t xml:space="preserve"> is not proposed to conduct further survey</w:t>
      </w:r>
      <w:r w:rsidRPr="002E196B">
        <w:rPr>
          <w:rFonts w:eastAsia="MS Mincho"/>
          <w:lang w:eastAsia="ja-JP"/>
        </w:rPr>
        <w:t xml:space="preserve"> at this time</w:t>
      </w:r>
      <w:r w:rsidR="005C67DA" w:rsidRPr="002E196B">
        <w:rPr>
          <w:rFonts w:eastAsia="MS Mincho"/>
          <w:lang w:eastAsia="ja-JP"/>
        </w:rPr>
        <w:t>.</w:t>
      </w:r>
    </w:p>
    <w:p w14:paraId="00DCD0FE" w14:textId="77777777" w:rsidR="007C539E" w:rsidRPr="002E196B" w:rsidRDefault="007C539E" w:rsidP="007E52C1">
      <w:pPr>
        <w:pStyle w:val="Header1"/>
      </w:pPr>
      <w:bookmarkStart w:id="14" w:name="_Toc160797083"/>
      <w:r w:rsidRPr="002E196B">
        <w:lastRenderedPageBreak/>
        <w:t xml:space="preserve">Operations of NGSO Earth Station Equipment in the 10.7-12.75 GHz FSS </w:t>
      </w:r>
      <w:r w:rsidR="00CF51E4" w:rsidRPr="002E196B">
        <w:t xml:space="preserve">downlink </w:t>
      </w:r>
      <w:r w:rsidRPr="002E196B">
        <w:t>allocation</w:t>
      </w:r>
      <w:bookmarkEnd w:id="14"/>
    </w:p>
    <w:p w14:paraId="66429807" w14:textId="1393258D" w:rsidR="007C539E" w:rsidRPr="002E196B" w:rsidRDefault="00491C07" w:rsidP="007E52C1">
      <w:pPr>
        <w:jc w:val="both"/>
      </w:pPr>
      <w:r w:rsidRPr="002E196B">
        <w:t xml:space="preserve">It is </w:t>
      </w:r>
      <w:r w:rsidR="00D05FC6" w:rsidRPr="002E196B">
        <w:t>recognize</w:t>
      </w:r>
      <w:r w:rsidRPr="002E196B">
        <w:t>d</w:t>
      </w:r>
      <w:r w:rsidR="00D05FC6" w:rsidRPr="002E196B">
        <w:t xml:space="preserve"> that the NGSO </w:t>
      </w:r>
      <w:r w:rsidR="006D2E8F" w:rsidRPr="002E196B">
        <w:t xml:space="preserve">Earth Station </w:t>
      </w:r>
      <w:r w:rsidR="00D05FC6" w:rsidRPr="002E196B">
        <w:t xml:space="preserve">terminals in the 10.7-12.75 GHz are in a receive mode operation, and as such they are prone to </w:t>
      </w:r>
      <w:r w:rsidR="00D05FC6" w:rsidRPr="002E196B">
        <w:rPr>
          <w:sz w:val="22"/>
          <w:szCs w:val="22"/>
        </w:rPr>
        <w:t>interference</w:t>
      </w:r>
      <w:r w:rsidR="00D05FC6" w:rsidRPr="002E196B">
        <w:t xml:space="preserve"> from </w:t>
      </w:r>
      <w:r w:rsidR="00134718" w:rsidRPr="002E196B">
        <w:t>the FS</w:t>
      </w:r>
      <w:r w:rsidR="00CF51E4" w:rsidRPr="002E196B">
        <w:t xml:space="preserve"> </w:t>
      </w:r>
      <w:r w:rsidR="00E65B88" w:rsidRPr="002E196B">
        <w:t>links</w:t>
      </w:r>
      <w:r w:rsidR="005C48B9" w:rsidRPr="002E196B">
        <w:t xml:space="preserve"> (usually </w:t>
      </w:r>
      <w:r w:rsidR="003A42AC" w:rsidRPr="002E196B">
        <w:t>operating in the 10.7-11.7 GHz range)</w:t>
      </w:r>
      <w:r w:rsidR="00EA5D7A" w:rsidRPr="002E196B">
        <w:t>, and not the other way around</w:t>
      </w:r>
      <w:r w:rsidR="00D05FC6" w:rsidRPr="002E196B">
        <w:t>.</w:t>
      </w:r>
    </w:p>
    <w:p w14:paraId="23CF33C7" w14:textId="77777777" w:rsidR="00D05FC6" w:rsidRPr="002E196B" w:rsidRDefault="00D05FC6" w:rsidP="00CA0B3E">
      <w:pPr>
        <w:jc w:val="both"/>
      </w:pPr>
    </w:p>
    <w:p w14:paraId="5F021263" w14:textId="07281934" w:rsidR="00366842" w:rsidRPr="002E196B" w:rsidRDefault="00366842" w:rsidP="007E52C1">
      <w:pPr>
        <w:jc w:val="both"/>
      </w:pPr>
      <w:r w:rsidRPr="002E196B">
        <w:t xml:space="preserve">In relation to their regulatory status, this band may require some further </w:t>
      </w:r>
      <w:r w:rsidR="007905C1" w:rsidRPr="002E196B">
        <w:t>consideration</w:t>
      </w:r>
      <w:r w:rsidRPr="002E196B">
        <w:t>.</w:t>
      </w:r>
    </w:p>
    <w:p w14:paraId="2132359D" w14:textId="77777777" w:rsidR="00CA0B3E" w:rsidRPr="002E196B" w:rsidRDefault="00CA0B3E" w:rsidP="007E52C1">
      <w:pPr>
        <w:jc w:val="both"/>
      </w:pPr>
    </w:p>
    <w:p w14:paraId="6D884989" w14:textId="77777777" w:rsidR="00D05FC6" w:rsidRPr="002E196B" w:rsidRDefault="00366842" w:rsidP="00CA0B3E">
      <w:pPr>
        <w:jc w:val="both"/>
      </w:pPr>
      <w:r w:rsidRPr="002E196B">
        <w:t xml:space="preserve">For the time being, this </w:t>
      </w:r>
      <w:r w:rsidR="008D240E" w:rsidRPr="002E196B">
        <w:t>report</w:t>
      </w:r>
      <w:r w:rsidRPr="002E196B">
        <w:t xml:space="preserve"> proposes that the NGSO Earth station terminals should operate in this allocation on a non-protect</w:t>
      </w:r>
      <w:r w:rsidR="000B5D41" w:rsidRPr="002E196B">
        <w:t>ion</w:t>
      </w:r>
      <w:r w:rsidRPr="002E196B">
        <w:t xml:space="preserve"> basis</w:t>
      </w:r>
      <w:r w:rsidR="0066488C" w:rsidRPr="002E196B">
        <w:t xml:space="preserve"> from the FS</w:t>
      </w:r>
      <w:r w:rsidRPr="002E196B">
        <w:t>, so that it can use the whole band between 10.7-12.75 GHz.</w:t>
      </w:r>
    </w:p>
    <w:p w14:paraId="207A0A5A" w14:textId="77777777" w:rsidR="00366842" w:rsidRPr="002E196B" w:rsidRDefault="00366842" w:rsidP="00552D30">
      <w:pPr>
        <w:pStyle w:val="ListParagraph"/>
        <w:ind w:left="360"/>
      </w:pPr>
    </w:p>
    <w:p w14:paraId="1EBCDE74" w14:textId="77777777" w:rsidR="003841F1" w:rsidRPr="002E196B" w:rsidRDefault="003841F1" w:rsidP="00552D30">
      <w:pPr>
        <w:pStyle w:val="ListParagraph"/>
        <w:ind w:left="360"/>
      </w:pPr>
    </w:p>
    <w:p w14:paraId="04EBE2A9" w14:textId="66ECDD0F" w:rsidR="005C67DA" w:rsidRPr="002E196B" w:rsidRDefault="005C67DA" w:rsidP="007E52C1">
      <w:pPr>
        <w:pStyle w:val="Header1"/>
      </w:pPr>
      <w:bookmarkStart w:id="15" w:name="_Toc160797084"/>
      <w:r w:rsidRPr="002E196B">
        <w:t>Summary</w:t>
      </w:r>
      <w:r w:rsidR="00E067A8" w:rsidRPr="002E196B">
        <w:t xml:space="preserve"> and Conclusions</w:t>
      </w:r>
      <w:bookmarkEnd w:id="15"/>
    </w:p>
    <w:p w14:paraId="3C7E0D5E" w14:textId="1278872C" w:rsidR="005C67DA" w:rsidRPr="002E196B" w:rsidRDefault="005C67DA" w:rsidP="00CA0B3E">
      <w:pPr>
        <w:jc w:val="both"/>
      </w:pPr>
      <w:r w:rsidRPr="002E196B">
        <w:t xml:space="preserve">From the above </w:t>
      </w:r>
      <w:r w:rsidR="002F34B2" w:rsidRPr="002E196B">
        <w:t xml:space="preserve">sections </w:t>
      </w:r>
      <w:r w:rsidR="001E3D3C" w:rsidRPr="002E196B">
        <w:t>it is</w:t>
      </w:r>
      <w:r w:rsidR="002F34B2" w:rsidRPr="002E196B">
        <w:t xml:space="preserve"> </w:t>
      </w:r>
      <w:r w:rsidR="00857E69" w:rsidRPr="002E196B">
        <w:t xml:space="preserve">shown </w:t>
      </w:r>
      <w:r w:rsidRPr="002E196B">
        <w:t>that</w:t>
      </w:r>
      <w:r w:rsidR="00857E69" w:rsidRPr="002E196B">
        <w:t xml:space="preserve"> </w:t>
      </w:r>
      <w:r w:rsidR="005C322A" w:rsidRPr="002E196B">
        <w:t>specific</w:t>
      </w:r>
      <w:r w:rsidRPr="002E196B">
        <w:t xml:space="preserve"> NGSO Earth Station Terminals in operation at the frequency range 14.0-14.5 GHz and under the co-primary FSS allocation:</w:t>
      </w:r>
    </w:p>
    <w:p w14:paraId="4AD3A311" w14:textId="77777777" w:rsidR="005C67DA" w:rsidRPr="002E196B" w:rsidRDefault="005C67DA" w:rsidP="00552D30">
      <w:pPr>
        <w:pStyle w:val="ListParagraph"/>
        <w:ind w:left="1080"/>
      </w:pPr>
    </w:p>
    <w:p w14:paraId="1A5C572B" w14:textId="572F193B" w:rsidR="00804F34" w:rsidRPr="002E196B" w:rsidRDefault="00857E69" w:rsidP="00425190">
      <w:pPr>
        <w:pStyle w:val="ListParagraph"/>
        <w:numPr>
          <w:ilvl w:val="0"/>
          <w:numId w:val="11"/>
        </w:numPr>
        <w:jc w:val="both"/>
      </w:pPr>
      <w:r w:rsidRPr="002E196B">
        <w:t xml:space="preserve">The </w:t>
      </w:r>
      <w:r w:rsidR="00FE1685" w:rsidRPr="002E196B">
        <w:rPr>
          <w:rFonts w:ascii="SimSun" w:eastAsia="SimSun" w:hAnsi="SimSun"/>
          <w:bCs/>
          <w:lang w:eastAsia="zh-CN"/>
        </w:rPr>
        <w:t>s</w:t>
      </w:r>
      <w:r w:rsidR="00FE1685" w:rsidRPr="002E196B">
        <w:rPr>
          <w:bCs/>
        </w:rPr>
        <w:t>pecific</w:t>
      </w:r>
      <w:r w:rsidR="007905C1" w:rsidRPr="002E196B">
        <w:rPr>
          <w:bCs/>
        </w:rPr>
        <w:t xml:space="preserve"> E</w:t>
      </w:r>
      <w:r w:rsidR="00E56FF1" w:rsidRPr="002E196B">
        <w:rPr>
          <w:bCs/>
        </w:rPr>
        <w:t>arth</w:t>
      </w:r>
      <w:r w:rsidR="000E59EA" w:rsidRPr="002E196B">
        <w:rPr>
          <w:bCs/>
        </w:rPr>
        <w:t xml:space="preserve"> </w:t>
      </w:r>
      <w:r w:rsidR="007905C1" w:rsidRPr="002E196B">
        <w:rPr>
          <w:bCs/>
        </w:rPr>
        <w:t>s</w:t>
      </w:r>
      <w:r w:rsidR="000E59EA" w:rsidRPr="002E196B">
        <w:rPr>
          <w:bCs/>
        </w:rPr>
        <w:t xml:space="preserve">tation terminal </w:t>
      </w:r>
      <w:r w:rsidR="006348EF" w:rsidRPr="002E196B">
        <w:rPr>
          <w:bCs/>
        </w:rPr>
        <w:t>for one single</w:t>
      </w:r>
      <w:r w:rsidR="00803091" w:rsidRPr="002E196B">
        <w:rPr>
          <w:bCs/>
        </w:rPr>
        <w:t xml:space="preserve"> NGSO system </w:t>
      </w:r>
      <w:r w:rsidR="000E59EA" w:rsidRPr="002E196B">
        <w:rPr>
          <w:bCs/>
        </w:rPr>
        <w:t>used</w:t>
      </w:r>
      <w:r w:rsidRPr="002E196B">
        <w:rPr>
          <w:bCs/>
        </w:rPr>
        <w:t xml:space="preserve"> as an example</w:t>
      </w:r>
      <w:r w:rsidR="000E59EA" w:rsidRPr="002E196B">
        <w:rPr>
          <w:bCs/>
        </w:rPr>
        <w:t xml:space="preserve"> for mobility applications</w:t>
      </w:r>
      <w:r w:rsidRPr="002E196B">
        <w:rPr>
          <w:bCs/>
        </w:rPr>
        <w:t xml:space="preserve"> in this report</w:t>
      </w:r>
      <w:r w:rsidR="000E59EA" w:rsidRPr="002E196B">
        <w:rPr>
          <w:bCs/>
        </w:rPr>
        <w:t xml:space="preserve"> </w:t>
      </w:r>
      <w:r w:rsidR="001129CE" w:rsidRPr="002E196B">
        <w:rPr>
          <w:bCs/>
        </w:rPr>
        <w:t>transmit</w:t>
      </w:r>
      <w:r w:rsidRPr="002E196B">
        <w:rPr>
          <w:bCs/>
        </w:rPr>
        <w:t>s</w:t>
      </w:r>
      <w:r w:rsidR="001129CE" w:rsidRPr="002E196B">
        <w:rPr>
          <w:bCs/>
        </w:rPr>
        <w:t xml:space="preserve"> at </w:t>
      </w:r>
      <w:r w:rsidRPr="002E196B">
        <w:rPr>
          <w:bCs/>
        </w:rPr>
        <w:t xml:space="preserve">a </w:t>
      </w:r>
      <w:r w:rsidR="001129CE" w:rsidRPr="002E196B">
        <w:rPr>
          <w:bCs/>
        </w:rPr>
        <w:t>lower power level than the levels reference</w:t>
      </w:r>
      <w:r w:rsidRPr="002E196B">
        <w:rPr>
          <w:bCs/>
        </w:rPr>
        <w:t>d</w:t>
      </w:r>
      <w:r w:rsidR="001129CE" w:rsidRPr="002E196B">
        <w:rPr>
          <w:bCs/>
        </w:rPr>
        <w:t xml:space="preserve"> in </w:t>
      </w:r>
      <w:r w:rsidR="00260F08" w:rsidRPr="002E196B">
        <w:rPr>
          <w:bCs/>
        </w:rPr>
        <w:t xml:space="preserve">Resolution </w:t>
      </w:r>
      <w:r w:rsidR="007905C1" w:rsidRPr="002E196B">
        <w:rPr>
          <w:b/>
          <w:bCs/>
        </w:rPr>
        <w:t>902 (Rev.WRC-23)</w:t>
      </w:r>
      <w:r w:rsidR="00260F08" w:rsidRPr="002E196B">
        <w:rPr>
          <w:bCs/>
        </w:rPr>
        <w:t>,</w:t>
      </w:r>
      <w:r w:rsidR="001129CE" w:rsidRPr="002E196B">
        <w:rPr>
          <w:bCs/>
        </w:rPr>
        <w:t xml:space="preserve"> </w:t>
      </w:r>
      <w:r w:rsidR="00B521D8" w:rsidRPr="002E196B">
        <w:rPr>
          <w:bCs/>
        </w:rPr>
        <w:t>s</w:t>
      </w:r>
      <w:r w:rsidR="001117FF" w:rsidRPr="002E196B">
        <w:rPr>
          <w:bCs/>
        </w:rPr>
        <w:t xml:space="preserve">o the results with lower transmit power level shows lower potential </w:t>
      </w:r>
      <w:r w:rsidR="007905C1" w:rsidRPr="002E196B">
        <w:rPr>
          <w:bCs/>
        </w:rPr>
        <w:t>interference than</w:t>
      </w:r>
      <w:r w:rsidR="001F2A11" w:rsidRPr="002E196B">
        <w:rPr>
          <w:bCs/>
        </w:rPr>
        <w:t xml:space="preserve"> that specified in Annex 2 of Resolution </w:t>
      </w:r>
      <w:r w:rsidR="007905C1" w:rsidRPr="002E196B">
        <w:rPr>
          <w:b/>
          <w:bCs/>
        </w:rPr>
        <w:t>902 (Rev.WRC-23)</w:t>
      </w:r>
      <w:r w:rsidR="007905C1" w:rsidRPr="002E196B">
        <w:rPr>
          <w:bCs/>
        </w:rPr>
        <w:t>.</w:t>
      </w:r>
    </w:p>
    <w:p w14:paraId="3423ADCD" w14:textId="587FB1A9" w:rsidR="005C67DA" w:rsidRPr="002E196B" w:rsidRDefault="005C67DA" w:rsidP="00804F34">
      <w:pPr>
        <w:pStyle w:val="ListParagraph"/>
        <w:jc w:val="both"/>
      </w:pPr>
    </w:p>
    <w:p w14:paraId="57CF5728" w14:textId="0BB0BF96" w:rsidR="00616A93" w:rsidRPr="002E196B" w:rsidRDefault="00857E69" w:rsidP="00425190">
      <w:pPr>
        <w:pStyle w:val="ListParagraph"/>
        <w:numPr>
          <w:ilvl w:val="0"/>
          <w:numId w:val="11"/>
        </w:numPr>
        <w:jc w:val="both"/>
      </w:pPr>
      <w:r w:rsidRPr="002E196B">
        <w:rPr>
          <w:rFonts w:eastAsia="Yu Mincho"/>
          <w:lang w:eastAsia="ja-JP"/>
        </w:rPr>
        <w:t xml:space="preserve">Administrations may </w:t>
      </w:r>
      <w:r w:rsidRPr="002E196B">
        <w:rPr>
          <w:bCs/>
        </w:rPr>
        <w:t>consider</w:t>
      </w:r>
      <w:r w:rsidRPr="002E196B">
        <w:rPr>
          <w:rFonts w:eastAsia="Yu Mincho"/>
          <w:lang w:eastAsia="ja-JP"/>
        </w:rPr>
        <w:t xml:space="preserve">, where possible, </w:t>
      </w:r>
      <w:r w:rsidR="00053CE4" w:rsidRPr="002E196B">
        <w:rPr>
          <w:rFonts w:eastAsia="Yu Mincho"/>
          <w:lang w:eastAsia="ja-JP"/>
        </w:rPr>
        <w:t>the newer characteristics</w:t>
      </w:r>
      <w:r w:rsidR="007905C1" w:rsidRPr="002E196B">
        <w:rPr>
          <w:rFonts w:eastAsia="Yu Mincho"/>
          <w:lang w:eastAsia="ja-JP"/>
        </w:rPr>
        <w:t xml:space="preserve"> </w:t>
      </w:r>
      <w:r w:rsidR="00455208" w:rsidRPr="002E196B">
        <w:rPr>
          <w:rFonts w:eastAsia="Yu Mincho"/>
          <w:lang w:eastAsia="ja-JP"/>
        </w:rPr>
        <w:t>(i.e., minimizing tra</w:t>
      </w:r>
      <w:r w:rsidR="0018173F" w:rsidRPr="002E196B">
        <w:rPr>
          <w:rFonts w:eastAsia="Yu Mincho"/>
          <w:lang w:eastAsia="ja-JP"/>
        </w:rPr>
        <w:t xml:space="preserve">nsmitting power) </w:t>
      </w:r>
      <w:r w:rsidRPr="002E196B">
        <w:rPr>
          <w:rFonts w:eastAsia="Yu Mincho"/>
          <w:lang w:eastAsia="ja-JP"/>
        </w:rPr>
        <w:t xml:space="preserve">that some NGSO </w:t>
      </w:r>
      <w:r w:rsidR="007905C1" w:rsidRPr="002E196B">
        <w:t xml:space="preserve">Earth </w:t>
      </w:r>
      <w:r w:rsidRPr="002E196B">
        <w:rPr>
          <w:rFonts w:eastAsia="Yu Mincho"/>
          <w:lang w:eastAsia="ja-JP"/>
        </w:rPr>
        <w:t xml:space="preserve">station equipment is able to achieve. This report provides an example of a </w:t>
      </w:r>
      <w:r w:rsidR="009D58D0" w:rsidRPr="002E196B">
        <w:t>specific</w:t>
      </w:r>
      <w:r w:rsidR="009D58D0" w:rsidRPr="002E196B">
        <w:rPr>
          <w:b/>
          <w:bCs/>
        </w:rPr>
        <w:t xml:space="preserve"> </w:t>
      </w:r>
      <w:r w:rsidR="00F01C7F" w:rsidRPr="002E196B">
        <w:t xml:space="preserve">NGSO </w:t>
      </w:r>
      <w:r w:rsidR="007905C1" w:rsidRPr="002E196B">
        <w:t xml:space="preserve">Earth </w:t>
      </w:r>
      <w:r w:rsidR="00F01C7F" w:rsidRPr="002E196B">
        <w:rPr>
          <w:rFonts w:eastAsia="Yu Mincho"/>
          <w:lang w:eastAsia="ja-JP"/>
        </w:rPr>
        <w:t xml:space="preserve">station </w:t>
      </w:r>
      <w:r w:rsidRPr="002E196B">
        <w:t>with these newer characteristics</w:t>
      </w:r>
      <w:r w:rsidR="00F01C7F" w:rsidRPr="002E196B">
        <w:rPr>
          <w:rFonts w:eastAsia="Yu Mincho"/>
          <w:lang w:eastAsia="ja-JP"/>
        </w:rPr>
        <w:t>.</w:t>
      </w:r>
    </w:p>
    <w:p w14:paraId="2A9C9A19" w14:textId="17155DEF" w:rsidR="000E59EA" w:rsidRPr="002E196B" w:rsidRDefault="000E59EA" w:rsidP="0081367A">
      <w:pPr>
        <w:ind w:left="360"/>
        <w:jc w:val="both"/>
      </w:pPr>
    </w:p>
    <w:p w14:paraId="686521E3" w14:textId="78E55148" w:rsidR="00750936" w:rsidRPr="002E196B" w:rsidRDefault="00D8714F" w:rsidP="00425190">
      <w:pPr>
        <w:pStyle w:val="ListParagraph"/>
        <w:numPr>
          <w:ilvl w:val="0"/>
          <w:numId w:val="11"/>
        </w:numPr>
        <w:jc w:val="both"/>
      </w:pPr>
      <w:r w:rsidRPr="002E196B">
        <w:t>O</w:t>
      </w:r>
      <w:r w:rsidR="00750936" w:rsidRPr="002E196B">
        <w:t xml:space="preserve">perations of NGSO </w:t>
      </w:r>
      <w:r w:rsidR="007905C1" w:rsidRPr="002E196B">
        <w:t>E</w:t>
      </w:r>
      <w:r w:rsidR="000E59EA" w:rsidRPr="002E196B">
        <w:t xml:space="preserve">arth station </w:t>
      </w:r>
      <w:r w:rsidR="00750936" w:rsidRPr="002E196B">
        <w:t>terminals in the 10.7-12.75 GHz should be on a non-protect</w:t>
      </w:r>
      <w:r w:rsidR="001E3D3C" w:rsidRPr="002E196B">
        <w:t>ion</w:t>
      </w:r>
      <w:r w:rsidR="00750936" w:rsidRPr="002E196B">
        <w:t xml:space="preserve"> basis</w:t>
      </w:r>
      <w:r w:rsidR="002E156A" w:rsidRPr="002E196B">
        <w:t xml:space="preserve"> from </w:t>
      </w:r>
      <w:r w:rsidR="00BD7BBB" w:rsidRPr="002E196B">
        <w:t xml:space="preserve">other existing services allocated in the </w:t>
      </w:r>
      <w:r w:rsidR="007905C1" w:rsidRPr="002E196B">
        <w:t>relevant</w:t>
      </w:r>
      <w:r w:rsidR="00BD7BBB" w:rsidRPr="002E196B">
        <w:t xml:space="preserve"> frequency band. </w:t>
      </w:r>
    </w:p>
    <w:bookmarkEnd w:id="13"/>
    <w:p w14:paraId="473167CE" w14:textId="77777777" w:rsidR="009D58D0" w:rsidRPr="002E196B" w:rsidRDefault="009D58D0">
      <w:pPr>
        <w:spacing w:after="160" w:line="259" w:lineRule="auto"/>
        <w:rPr>
          <w:b/>
          <w:bCs/>
          <w:lang w:val="en-GB"/>
        </w:rPr>
      </w:pPr>
      <w:r w:rsidRPr="002E196B">
        <w:br w:type="page"/>
      </w:r>
    </w:p>
    <w:p w14:paraId="6D0EEA87" w14:textId="4DF15C3A" w:rsidR="008D43B3" w:rsidRPr="002E196B" w:rsidRDefault="008D43B3" w:rsidP="007E52C1">
      <w:pPr>
        <w:pStyle w:val="Header1"/>
        <w:numPr>
          <w:ilvl w:val="0"/>
          <w:numId w:val="0"/>
        </w:numPr>
        <w:ind w:left="1440" w:hanging="1440"/>
      </w:pPr>
      <w:bookmarkStart w:id="16" w:name="_Toc160797085"/>
      <w:r w:rsidRPr="002E196B">
        <w:lastRenderedPageBreak/>
        <w:t>ANNEX 1</w:t>
      </w:r>
      <w:r w:rsidR="007E52C1" w:rsidRPr="002E196B">
        <w:tab/>
      </w:r>
      <w:r w:rsidR="00482F84" w:rsidRPr="002E196B">
        <w:t>E</w:t>
      </w:r>
      <w:r w:rsidR="00535C61" w:rsidRPr="002E196B">
        <w:t>xample of</w:t>
      </w:r>
      <w:r w:rsidR="00857E69" w:rsidRPr="002E196B">
        <w:t xml:space="preserve"> </w:t>
      </w:r>
      <w:r w:rsidR="00535C61" w:rsidRPr="002E196B">
        <w:t>c</w:t>
      </w:r>
      <w:r w:rsidRPr="002E196B">
        <w:t xml:space="preserve">alculations of </w:t>
      </w:r>
      <w:r w:rsidR="00857E69" w:rsidRPr="002E196B">
        <w:t xml:space="preserve">a </w:t>
      </w:r>
      <w:r w:rsidR="009D58D0" w:rsidRPr="002E196B">
        <w:t xml:space="preserve">specific </w:t>
      </w:r>
      <w:r w:rsidR="002B243A" w:rsidRPr="002E196B">
        <w:t xml:space="preserve">NGSO </w:t>
      </w:r>
      <w:r w:rsidRPr="002E196B">
        <w:t xml:space="preserve">Earth Station Terminal EIRP and </w:t>
      </w:r>
      <w:proofErr w:type="spellStart"/>
      <w:r w:rsidRPr="002E196B">
        <w:t>EIRPsd</w:t>
      </w:r>
      <w:proofErr w:type="spellEnd"/>
      <w:r w:rsidRPr="002E196B">
        <w:t xml:space="preserve"> toward the horizon</w:t>
      </w:r>
      <w:bookmarkEnd w:id="16"/>
    </w:p>
    <w:p w14:paraId="1ADEB431" w14:textId="21822043" w:rsidR="004A55DB" w:rsidRPr="002E196B" w:rsidRDefault="007E52C1" w:rsidP="00425190">
      <w:pPr>
        <w:pStyle w:val="ListParagraph"/>
        <w:numPr>
          <w:ilvl w:val="0"/>
          <w:numId w:val="12"/>
        </w:numPr>
        <w:rPr>
          <w:b/>
          <w:bCs/>
        </w:rPr>
      </w:pPr>
      <w:r w:rsidRPr="002E196B">
        <w:rPr>
          <w:b/>
          <w:bCs/>
        </w:rPr>
        <w:t>Summary</w:t>
      </w:r>
    </w:p>
    <w:p w14:paraId="674430D7" w14:textId="77777777" w:rsidR="00425190" w:rsidRPr="002E196B" w:rsidRDefault="00425190" w:rsidP="007F0312">
      <w:pPr>
        <w:jc w:val="both"/>
      </w:pPr>
    </w:p>
    <w:p w14:paraId="3A9E4A04" w14:textId="53F13327" w:rsidR="004A55DB" w:rsidRPr="002E196B" w:rsidRDefault="004A55DB" w:rsidP="007F0312">
      <w:pPr>
        <w:jc w:val="both"/>
      </w:pPr>
      <w:r w:rsidRPr="002E196B">
        <w:t xml:space="preserve">Section 2 of this Annex 1 determines the EIRP and </w:t>
      </w:r>
      <w:proofErr w:type="spellStart"/>
      <w:r w:rsidRPr="002E196B">
        <w:t>EIRPsd</w:t>
      </w:r>
      <w:proofErr w:type="spellEnd"/>
      <w:r w:rsidRPr="002E196B">
        <w:t xml:space="preserve"> toward the horizon of typical NGSO terminals. This is done to show that the NGSO </w:t>
      </w:r>
      <w:r w:rsidR="0077572C" w:rsidRPr="002E196B">
        <w:t xml:space="preserve">earth station </w:t>
      </w:r>
      <w:r w:rsidRPr="002E196B">
        <w:t xml:space="preserve">terminals have a </w:t>
      </w:r>
      <w:r w:rsidR="00527218" w:rsidRPr="002E196B">
        <w:t>very limited</w:t>
      </w:r>
      <w:r w:rsidRPr="002E196B">
        <w:t xml:space="preserve"> </w:t>
      </w:r>
      <w:r w:rsidR="00527218" w:rsidRPr="002E196B">
        <w:t xml:space="preserve">EIRP and </w:t>
      </w:r>
      <w:proofErr w:type="spellStart"/>
      <w:r w:rsidRPr="002E196B">
        <w:t>EIRPsd</w:t>
      </w:r>
      <w:proofErr w:type="spellEnd"/>
      <w:r w:rsidRPr="002E196B">
        <w:t xml:space="preserve"> toward the horizon</w:t>
      </w:r>
      <w:r w:rsidR="00857E69" w:rsidRPr="002E196B">
        <w:t>.</w:t>
      </w:r>
    </w:p>
    <w:p w14:paraId="658A6014" w14:textId="77777777" w:rsidR="004A55DB" w:rsidRPr="002E196B" w:rsidRDefault="004A55DB" w:rsidP="00552D30"/>
    <w:p w14:paraId="10419B44" w14:textId="1E7148A3" w:rsidR="004A55DB" w:rsidRPr="002E196B" w:rsidRDefault="000A6A03" w:rsidP="00425190">
      <w:pPr>
        <w:pStyle w:val="ListParagraph"/>
        <w:numPr>
          <w:ilvl w:val="0"/>
          <w:numId w:val="12"/>
        </w:numPr>
        <w:rPr>
          <w:b/>
          <w:bCs/>
        </w:rPr>
      </w:pPr>
      <w:r w:rsidRPr="002E196B">
        <w:rPr>
          <w:b/>
          <w:bCs/>
        </w:rPr>
        <w:t>Comparison of ESV and</w:t>
      </w:r>
      <w:r w:rsidR="00857E69" w:rsidRPr="002E196B">
        <w:rPr>
          <w:b/>
          <w:bCs/>
        </w:rPr>
        <w:t xml:space="preserve"> a </w:t>
      </w:r>
      <w:r w:rsidR="009D58D0" w:rsidRPr="002E196B">
        <w:rPr>
          <w:b/>
          <w:bCs/>
        </w:rPr>
        <w:t>specific</w:t>
      </w:r>
      <w:r w:rsidRPr="002E196B">
        <w:rPr>
          <w:b/>
          <w:bCs/>
        </w:rPr>
        <w:t xml:space="preserve"> NGSO earth station terminal</w:t>
      </w:r>
    </w:p>
    <w:p w14:paraId="6A712BA8" w14:textId="77777777" w:rsidR="00425190" w:rsidRPr="002E196B" w:rsidRDefault="00425190" w:rsidP="00552D30"/>
    <w:p w14:paraId="328FA1F8" w14:textId="3E129880" w:rsidR="004A55DB" w:rsidRPr="002E196B" w:rsidRDefault="000A6A03" w:rsidP="00552D30">
      <w:r w:rsidRPr="002E196B">
        <w:t>Typical parameters of ESV</w:t>
      </w:r>
      <w:r w:rsidR="004A55DB" w:rsidRPr="002E196B">
        <w:t xml:space="preserve"> are given in </w:t>
      </w:r>
      <w:r w:rsidRPr="002E196B">
        <w:t xml:space="preserve">Resolution </w:t>
      </w:r>
      <w:r w:rsidRPr="002E196B">
        <w:rPr>
          <w:b/>
          <w:bCs/>
        </w:rPr>
        <w:t>902</w:t>
      </w:r>
      <w:r w:rsidR="004A55DB" w:rsidRPr="002E196B">
        <w:t xml:space="preserve"> </w:t>
      </w:r>
      <w:r w:rsidR="0068722B" w:rsidRPr="002E196B">
        <w:t xml:space="preserve">(WRC-2003) </w:t>
      </w:r>
      <w:r w:rsidR="004A55DB" w:rsidRPr="002E196B">
        <w:t xml:space="preserve">Annex 3, </w:t>
      </w:r>
      <w:r w:rsidR="007905C1" w:rsidRPr="002E196B">
        <w:t>i.e.,</w:t>
      </w:r>
    </w:p>
    <w:p w14:paraId="3FEC967C" w14:textId="017FBFB3" w:rsidR="004A55DB" w:rsidRPr="002E196B" w:rsidRDefault="004A55DB" w:rsidP="00552D30">
      <w:pPr>
        <w:pStyle w:val="ListParagraph"/>
        <w:numPr>
          <w:ilvl w:val="0"/>
          <w:numId w:val="1"/>
        </w:numPr>
        <w:rPr>
          <w:sz w:val="22"/>
          <w:szCs w:val="22"/>
        </w:rPr>
      </w:pPr>
      <w:r w:rsidRPr="002E196B">
        <w:rPr>
          <w:sz w:val="22"/>
          <w:szCs w:val="22"/>
        </w:rPr>
        <w:t xml:space="preserve">Maximum ESV </w:t>
      </w:r>
      <w:r w:rsidR="00E17995" w:rsidRPr="002E196B">
        <w:rPr>
          <w:sz w:val="22"/>
          <w:szCs w:val="22"/>
        </w:rPr>
        <w:t>EIRP</w:t>
      </w:r>
      <w:r w:rsidRPr="002E196B">
        <w:rPr>
          <w:sz w:val="22"/>
          <w:szCs w:val="22"/>
        </w:rPr>
        <w:t xml:space="preserve"> spectral density toward the horizon</w:t>
      </w:r>
      <w:r w:rsidRPr="002E196B">
        <w:rPr>
          <w:sz w:val="22"/>
          <w:szCs w:val="22"/>
        </w:rPr>
        <w:tab/>
        <w:t xml:space="preserve">12.5 </w:t>
      </w:r>
      <w:proofErr w:type="spellStart"/>
      <w:r w:rsidRPr="002E196B">
        <w:rPr>
          <w:sz w:val="22"/>
          <w:szCs w:val="22"/>
        </w:rPr>
        <w:t>dBW</w:t>
      </w:r>
      <w:proofErr w:type="spellEnd"/>
      <w:r w:rsidRPr="002E196B">
        <w:rPr>
          <w:sz w:val="22"/>
          <w:szCs w:val="22"/>
        </w:rPr>
        <w:t>/MHz</w:t>
      </w:r>
    </w:p>
    <w:p w14:paraId="7255F37A" w14:textId="1CE9F50B" w:rsidR="004A55DB" w:rsidRPr="002E196B" w:rsidRDefault="004A55DB" w:rsidP="00552D30">
      <w:pPr>
        <w:pStyle w:val="ListParagraph"/>
        <w:numPr>
          <w:ilvl w:val="0"/>
          <w:numId w:val="1"/>
        </w:numPr>
        <w:rPr>
          <w:sz w:val="22"/>
          <w:szCs w:val="22"/>
        </w:rPr>
      </w:pPr>
      <w:r w:rsidRPr="002E196B">
        <w:rPr>
          <w:sz w:val="22"/>
          <w:szCs w:val="22"/>
        </w:rPr>
        <w:t xml:space="preserve">Maximum ESV </w:t>
      </w:r>
      <w:r w:rsidR="00E17995" w:rsidRPr="002E196B">
        <w:rPr>
          <w:sz w:val="22"/>
          <w:szCs w:val="22"/>
        </w:rPr>
        <w:t>EIRP</w:t>
      </w:r>
      <w:r w:rsidRPr="002E196B">
        <w:rPr>
          <w:sz w:val="22"/>
          <w:szCs w:val="22"/>
        </w:rPr>
        <w:t xml:space="preserve"> toward the horizon </w:t>
      </w:r>
      <w:r w:rsidRPr="002E196B">
        <w:rPr>
          <w:sz w:val="22"/>
          <w:szCs w:val="22"/>
        </w:rPr>
        <w:tab/>
      </w:r>
      <w:r w:rsidRPr="002E196B">
        <w:rPr>
          <w:sz w:val="22"/>
          <w:szCs w:val="22"/>
        </w:rPr>
        <w:tab/>
      </w:r>
      <w:r w:rsidRPr="002E196B">
        <w:rPr>
          <w:sz w:val="22"/>
          <w:szCs w:val="22"/>
        </w:rPr>
        <w:tab/>
        <w:t xml:space="preserve">16.3 </w:t>
      </w:r>
      <w:proofErr w:type="spellStart"/>
      <w:r w:rsidRPr="002E196B">
        <w:rPr>
          <w:sz w:val="22"/>
          <w:szCs w:val="22"/>
        </w:rPr>
        <w:t>dBW</w:t>
      </w:r>
      <w:proofErr w:type="spellEnd"/>
    </w:p>
    <w:p w14:paraId="666A86C1" w14:textId="77777777" w:rsidR="004A55DB" w:rsidRPr="002E196B" w:rsidRDefault="004A55DB" w:rsidP="00552D30">
      <w:pPr>
        <w:ind w:left="1080"/>
      </w:pPr>
    </w:p>
    <w:p w14:paraId="1FC088A3" w14:textId="7F41CA91" w:rsidR="004A55DB" w:rsidRPr="002E196B" w:rsidRDefault="004A55DB" w:rsidP="007F0312">
      <w:pPr>
        <w:jc w:val="both"/>
      </w:pPr>
      <w:r w:rsidRPr="002E196B">
        <w:t xml:space="preserve">From the calculations we did below in Section </w:t>
      </w:r>
      <w:r w:rsidR="000A6A03" w:rsidRPr="002E196B">
        <w:t>3</w:t>
      </w:r>
      <w:r w:rsidR="00BC78EC" w:rsidRPr="002E196B">
        <w:t xml:space="preserve"> below,</w:t>
      </w:r>
      <w:r w:rsidRPr="002E196B">
        <w:t xml:space="preserve"> when comparing the NGSO </w:t>
      </w:r>
      <w:r w:rsidR="00D70564" w:rsidRPr="002E196B">
        <w:t>EIRP</w:t>
      </w:r>
      <w:r w:rsidR="004E1BE1" w:rsidRPr="002E196B">
        <w:t xml:space="preserve"> and </w:t>
      </w:r>
      <w:proofErr w:type="spellStart"/>
      <w:r w:rsidR="004E1BE1" w:rsidRPr="002E196B">
        <w:t>EIRPsd</w:t>
      </w:r>
      <w:proofErr w:type="spellEnd"/>
      <w:r w:rsidR="00D70564" w:rsidRPr="002E196B">
        <w:t xml:space="preserve"> values with that of the Resolution </w:t>
      </w:r>
      <w:r w:rsidR="007905C1" w:rsidRPr="002E196B">
        <w:rPr>
          <w:b/>
          <w:bCs/>
        </w:rPr>
        <w:t xml:space="preserve">902 (Rev.WRC-23) </w:t>
      </w:r>
      <w:r w:rsidR="00D70564" w:rsidRPr="002E196B">
        <w:t>limits</w:t>
      </w:r>
      <w:r w:rsidR="000A6A03" w:rsidRPr="002E196B">
        <w:t>,</w:t>
      </w:r>
      <w:r w:rsidR="00D70564" w:rsidRPr="002E196B">
        <w:t xml:space="preserve"> </w:t>
      </w:r>
      <w:r w:rsidRPr="002E196B">
        <w:t xml:space="preserve">NGSO </w:t>
      </w:r>
      <w:r w:rsidR="00D70564" w:rsidRPr="002E196B">
        <w:t xml:space="preserve">terminals </w:t>
      </w:r>
      <w:r w:rsidR="000A6A03" w:rsidRPr="002E196B">
        <w:t>have</w:t>
      </w:r>
      <w:r w:rsidR="000749C0" w:rsidRPr="002E196B">
        <w:t xml:space="preserve"> a large margin, i.e.:</w:t>
      </w:r>
    </w:p>
    <w:p w14:paraId="3846859F" w14:textId="77777777" w:rsidR="000749C0" w:rsidRPr="002E196B" w:rsidRDefault="000749C0" w:rsidP="00552D30">
      <w:pPr>
        <w:ind w:left="426"/>
      </w:pPr>
    </w:p>
    <w:p w14:paraId="0480E547" w14:textId="77777777" w:rsidR="00072184" w:rsidRPr="002E196B" w:rsidRDefault="0077512A" w:rsidP="00425190">
      <w:pPr>
        <w:pStyle w:val="ListParagraph"/>
        <w:numPr>
          <w:ilvl w:val="0"/>
          <w:numId w:val="5"/>
        </w:numPr>
        <w:rPr>
          <w:b/>
          <w:bCs/>
        </w:rPr>
      </w:pPr>
      <w:proofErr w:type="spellStart"/>
      <w:proofErr w:type="gramStart"/>
      <w:r w:rsidRPr="002E196B">
        <w:rPr>
          <w:b/>
          <w:bCs/>
        </w:rPr>
        <w:t>EIRPsd,horizon</w:t>
      </w:r>
      <w:proofErr w:type="spellEnd"/>
      <w:proofErr w:type="gramEnd"/>
      <w:r w:rsidRPr="002E196B">
        <w:rPr>
          <w:b/>
          <w:bCs/>
        </w:rPr>
        <w:t xml:space="preserve"> limit of 12.5 </w:t>
      </w:r>
      <w:proofErr w:type="spellStart"/>
      <w:r w:rsidRPr="002E196B">
        <w:rPr>
          <w:b/>
          <w:bCs/>
        </w:rPr>
        <w:t>dBW</w:t>
      </w:r>
      <w:proofErr w:type="spellEnd"/>
      <w:r w:rsidRPr="002E196B">
        <w:rPr>
          <w:b/>
          <w:bCs/>
        </w:rPr>
        <w:t>/MHz</w:t>
      </w:r>
    </w:p>
    <w:p w14:paraId="6F5098EC" w14:textId="77777777" w:rsidR="007F0312" w:rsidRPr="002E196B" w:rsidRDefault="007F0312" w:rsidP="00552D30">
      <w:pPr>
        <w:ind w:firstLine="720"/>
        <w:rPr>
          <w:rFonts w:ascii="Symbol" w:hAnsi="Symbol" w:hint="eastAsia"/>
        </w:rPr>
      </w:pPr>
    </w:p>
    <w:p w14:paraId="790256BE" w14:textId="02077E43" w:rsidR="000749C0" w:rsidRPr="002E196B" w:rsidRDefault="000749C0" w:rsidP="007905C1">
      <w:pPr>
        <w:ind w:left="720" w:firstLine="720"/>
      </w:pPr>
      <w:r w:rsidRPr="002E196B">
        <w:rPr>
          <w:rFonts w:ascii="Symbol" w:hAnsi="Symbol"/>
        </w:rPr>
        <w:t></w:t>
      </w:r>
      <w:r w:rsidRPr="002E196B">
        <w:t xml:space="preserve"> </w:t>
      </w:r>
      <w:proofErr w:type="spellStart"/>
      <w:proofErr w:type="gramStart"/>
      <w:r w:rsidRPr="002E196B">
        <w:t>EIRP</w:t>
      </w:r>
      <w:r w:rsidRPr="002E196B">
        <w:rPr>
          <w:vertAlign w:val="subscript"/>
        </w:rPr>
        <w:t>sd,horizon</w:t>
      </w:r>
      <w:proofErr w:type="gramEnd"/>
      <w:r w:rsidRPr="002E196B">
        <w:rPr>
          <w:vertAlign w:val="subscript"/>
        </w:rPr>
        <w:t>,RES</w:t>
      </w:r>
      <w:proofErr w:type="spellEnd"/>
      <w:r w:rsidRPr="002E196B">
        <w:rPr>
          <w:vertAlign w:val="subscript"/>
        </w:rPr>
        <w:t xml:space="preserve"> 902</w:t>
      </w:r>
      <w:r w:rsidRPr="002E196B">
        <w:t xml:space="preserve"> </w:t>
      </w:r>
      <w:r w:rsidR="007F0312" w:rsidRPr="002E196B">
        <w:tab/>
      </w:r>
      <w:r w:rsidRPr="002E196B">
        <w:t xml:space="preserve">= NGSO </w:t>
      </w:r>
      <w:proofErr w:type="spellStart"/>
      <w:r w:rsidRPr="002E196B">
        <w:t>EIRP</w:t>
      </w:r>
      <w:r w:rsidRPr="002E196B">
        <w:rPr>
          <w:vertAlign w:val="subscript"/>
        </w:rPr>
        <w:t>sd,horizon</w:t>
      </w:r>
      <w:proofErr w:type="spellEnd"/>
      <w:r w:rsidRPr="002E196B">
        <w:t xml:space="preserve"> – </w:t>
      </w:r>
      <w:r w:rsidR="003B3991" w:rsidRPr="002E196B">
        <w:t>12.5</w:t>
      </w:r>
    </w:p>
    <w:p w14:paraId="03F7C5DC" w14:textId="6EF686FE" w:rsidR="000749C0" w:rsidRPr="002E196B" w:rsidRDefault="000749C0" w:rsidP="007905C1">
      <w:pPr>
        <w:ind w:left="2160" w:firstLine="720"/>
      </w:pPr>
      <w:r w:rsidRPr="002E196B">
        <w:tab/>
        <w:t>=</w:t>
      </w:r>
      <w:r w:rsidR="007F0312" w:rsidRPr="002E196B">
        <w:t xml:space="preserve"> </w:t>
      </w:r>
      <w:r w:rsidRPr="002E196B">
        <w:t xml:space="preserve">-20.6 – </w:t>
      </w:r>
      <w:r w:rsidR="003B3991" w:rsidRPr="002E196B">
        <w:t>12.5</w:t>
      </w:r>
      <w:r w:rsidRPr="002E196B">
        <w:t xml:space="preserve"> </w:t>
      </w:r>
    </w:p>
    <w:p w14:paraId="447224DC" w14:textId="29314B92" w:rsidR="000749C0" w:rsidRPr="002E196B" w:rsidRDefault="007F0312" w:rsidP="007905C1">
      <w:pPr>
        <w:ind w:left="720"/>
      </w:pPr>
      <w:r w:rsidRPr="002E196B">
        <w:tab/>
      </w:r>
      <w:r w:rsidRPr="002E196B">
        <w:tab/>
      </w:r>
      <w:r w:rsidRPr="002E196B">
        <w:tab/>
      </w:r>
      <w:r w:rsidRPr="002E196B">
        <w:tab/>
      </w:r>
      <w:r w:rsidR="000749C0" w:rsidRPr="002E196B">
        <w:t>=</w:t>
      </w:r>
      <w:r w:rsidRPr="002E196B">
        <w:t xml:space="preserve"> </w:t>
      </w:r>
      <w:r w:rsidR="000749C0" w:rsidRPr="002E196B">
        <w:t>-3</w:t>
      </w:r>
      <w:r w:rsidR="00992941" w:rsidRPr="002E196B">
        <w:t>3</w:t>
      </w:r>
      <w:r w:rsidR="000749C0" w:rsidRPr="002E196B">
        <w:t>.</w:t>
      </w:r>
      <w:r w:rsidR="003B3991" w:rsidRPr="002E196B">
        <w:t>1</w:t>
      </w:r>
      <w:r w:rsidR="000749C0" w:rsidRPr="002E196B">
        <w:t xml:space="preserve"> </w:t>
      </w:r>
      <w:r w:rsidR="000749C0" w:rsidRPr="002E196B">
        <w:tab/>
      </w:r>
      <w:r w:rsidR="003B3991" w:rsidRPr="002E196B">
        <w:t>[dB]</w:t>
      </w:r>
    </w:p>
    <w:p w14:paraId="69FCE66F" w14:textId="77777777" w:rsidR="000749C0" w:rsidRPr="002E196B" w:rsidRDefault="0057101E" w:rsidP="00552D30">
      <w:pPr>
        <w:ind w:left="426"/>
      </w:pPr>
      <w:r w:rsidRPr="002E196B">
        <w:tab/>
      </w:r>
    </w:p>
    <w:p w14:paraId="1D05E23C" w14:textId="77777777" w:rsidR="0077512A" w:rsidRPr="002E196B" w:rsidRDefault="0077512A" w:rsidP="00425190">
      <w:pPr>
        <w:pStyle w:val="ListParagraph"/>
        <w:numPr>
          <w:ilvl w:val="0"/>
          <w:numId w:val="5"/>
        </w:numPr>
        <w:rPr>
          <w:b/>
          <w:bCs/>
        </w:rPr>
      </w:pPr>
      <w:proofErr w:type="spellStart"/>
      <w:r w:rsidRPr="002E196B">
        <w:rPr>
          <w:b/>
          <w:bCs/>
        </w:rPr>
        <w:t>EIRPhorizon</w:t>
      </w:r>
      <w:proofErr w:type="spellEnd"/>
      <w:r w:rsidRPr="002E196B">
        <w:rPr>
          <w:b/>
          <w:bCs/>
        </w:rPr>
        <w:t xml:space="preserve"> limit of 16.3 </w:t>
      </w:r>
      <w:proofErr w:type="spellStart"/>
      <w:r w:rsidRPr="002E196B">
        <w:rPr>
          <w:b/>
          <w:bCs/>
        </w:rPr>
        <w:t>dBW</w:t>
      </w:r>
      <w:proofErr w:type="spellEnd"/>
    </w:p>
    <w:p w14:paraId="05C4EA39" w14:textId="77777777" w:rsidR="0077512A" w:rsidRPr="002E196B" w:rsidRDefault="0077512A" w:rsidP="00552D30">
      <w:pPr>
        <w:ind w:firstLine="720"/>
        <w:rPr>
          <w:rFonts w:ascii="Symbol" w:hAnsi="Symbol" w:hint="eastAsia"/>
        </w:rPr>
      </w:pPr>
    </w:p>
    <w:p w14:paraId="6E5A38B0" w14:textId="632CD922" w:rsidR="0077512A" w:rsidRPr="002E196B" w:rsidRDefault="0077512A" w:rsidP="007905C1">
      <w:pPr>
        <w:ind w:left="720" w:firstLine="720"/>
      </w:pPr>
      <w:r w:rsidRPr="002E196B">
        <w:rPr>
          <w:rFonts w:ascii="Symbol" w:hAnsi="Symbol"/>
        </w:rPr>
        <w:t></w:t>
      </w:r>
      <w:r w:rsidRPr="002E196B">
        <w:t xml:space="preserve"> </w:t>
      </w:r>
      <w:proofErr w:type="spellStart"/>
      <w:proofErr w:type="gramStart"/>
      <w:r w:rsidRPr="002E196B">
        <w:t>EIRP</w:t>
      </w:r>
      <w:r w:rsidRPr="002E196B">
        <w:rPr>
          <w:vertAlign w:val="subscript"/>
        </w:rPr>
        <w:t>horizon,RES</w:t>
      </w:r>
      <w:proofErr w:type="spellEnd"/>
      <w:proofErr w:type="gramEnd"/>
      <w:r w:rsidRPr="002E196B">
        <w:rPr>
          <w:vertAlign w:val="subscript"/>
        </w:rPr>
        <w:t xml:space="preserve"> 902</w:t>
      </w:r>
      <w:r w:rsidRPr="002E196B">
        <w:t xml:space="preserve"> </w:t>
      </w:r>
      <w:r w:rsidR="007F0312" w:rsidRPr="002E196B">
        <w:tab/>
      </w:r>
      <w:r w:rsidRPr="002E196B">
        <w:t xml:space="preserve">= NGSO </w:t>
      </w:r>
      <w:proofErr w:type="spellStart"/>
      <w:r w:rsidRPr="002E196B">
        <w:t>EIRP</w:t>
      </w:r>
      <w:r w:rsidRPr="002E196B">
        <w:rPr>
          <w:vertAlign w:val="subscript"/>
        </w:rPr>
        <w:t>horizon</w:t>
      </w:r>
      <w:proofErr w:type="spellEnd"/>
      <w:r w:rsidRPr="002E196B">
        <w:t xml:space="preserve"> – 16.3</w:t>
      </w:r>
    </w:p>
    <w:p w14:paraId="56A347DC" w14:textId="38C73CAC" w:rsidR="0077512A" w:rsidRPr="002E196B" w:rsidRDefault="0077512A" w:rsidP="007905C1">
      <w:pPr>
        <w:ind w:left="2160" w:firstLine="720"/>
      </w:pPr>
      <w:r w:rsidRPr="002E196B">
        <w:tab/>
        <w:t>=</w:t>
      </w:r>
      <w:r w:rsidR="007F0312" w:rsidRPr="002E196B">
        <w:t xml:space="preserve"> </w:t>
      </w:r>
      <w:r w:rsidRPr="002E196B">
        <w:t xml:space="preserve">-7.6 – 16.3 </w:t>
      </w:r>
    </w:p>
    <w:p w14:paraId="52EE50F3" w14:textId="63C471C6" w:rsidR="0077512A" w:rsidRPr="002E196B" w:rsidRDefault="007F0312" w:rsidP="007905C1">
      <w:pPr>
        <w:ind w:left="720"/>
      </w:pPr>
      <w:r w:rsidRPr="002E196B">
        <w:tab/>
      </w:r>
      <w:r w:rsidRPr="002E196B">
        <w:tab/>
      </w:r>
      <w:r w:rsidRPr="002E196B">
        <w:tab/>
      </w:r>
      <w:r w:rsidRPr="002E196B">
        <w:tab/>
      </w:r>
      <w:r w:rsidR="0077512A" w:rsidRPr="002E196B">
        <w:t>=</w:t>
      </w:r>
      <w:r w:rsidRPr="002E196B">
        <w:t xml:space="preserve"> </w:t>
      </w:r>
      <w:r w:rsidR="00F56663" w:rsidRPr="002E196B">
        <w:t>-</w:t>
      </w:r>
      <w:r w:rsidR="00F94422" w:rsidRPr="002E196B">
        <w:t>2</w:t>
      </w:r>
      <w:r w:rsidR="006F02F8" w:rsidRPr="002E196B">
        <w:t>3</w:t>
      </w:r>
      <w:r w:rsidR="00F94422" w:rsidRPr="002E196B">
        <w:t>.9</w:t>
      </w:r>
      <w:r w:rsidR="0077512A" w:rsidRPr="002E196B">
        <w:t xml:space="preserve"> </w:t>
      </w:r>
      <w:r w:rsidR="0077512A" w:rsidRPr="002E196B">
        <w:tab/>
        <w:t>[dB]</w:t>
      </w:r>
    </w:p>
    <w:p w14:paraId="1BA46248" w14:textId="77777777" w:rsidR="0077512A" w:rsidRPr="002E196B" w:rsidRDefault="0077512A" w:rsidP="00552D30">
      <w:pPr>
        <w:ind w:left="426"/>
      </w:pPr>
      <w:r w:rsidRPr="002E196B">
        <w:tab/>
      </w:r>
    </w:p>
    <w:p w14:paraId="6E2B8682" w14:textId="229F5B32" w:rsidR="00BB0239" w:rsidRPr="002E196B" w:rsidRDefault="00BB0239" w:rsidP="007F0312">
      <w:pPr>
        <w:jc w:val="both"/>
        <w:rPr>
          <w:b/>
          <w:bCs/>
        </w:rPr>
      </w:pPr>
      <w:r w:rsidRPr="002E196B">
        <w:rPr>
          <w:b/>
          <w:bCs/>
        </w:rPr>
        <w:t>Conclusion</w:t>
      </w:r>
      <w:r w:rsidR="0077745D" w:rsidRPr="002E196B">
        <w:rPr>
          <w:b/>
          <w:bCs/>
        </w:rPr>
        <w:t xml:space="preserve">: </w:t>
      </w:r>
      <w:r w:rsidR="00857E69" w:rsidRPr="002E196B">
        <w:t xml:space="preserve">the </w:t>
      </w:r>
      <w:r w:rsidR="009D58D0" w:rsidRPr="002E196B">
        <w:t>specific</w:t>
      </w:r>
      <w:r w:rsidR="009D58D0" w:rsidRPr="002E196B">
        <w:rPr>
          <w:b/>
          <w:bCs/>
        </w:rPr>
        <w:t xml:space="preserve"> </w:t>
      </w:r>
      <w:r w:rsidRPr="002E196B">
        <w:t xml:space="preserve">NGSO </w:t>
      </w:r>
      <w:r w:rsidR="002B7928" w:rsidRPr="002E196B">
        <w:t>e</w:t>
      </w:r>
      <w:r w:rsidRPr="002E196B">
        <w:t>arth station terminal on ships</w:t>
      </w:r>
      <w:r w:rsidR="002B7928" w:rsidRPr="002E196B">
        <w:t xml:space="preserve"> </w:t>
      </w:r>
      <w:r w:rsidR="00857E69" w:rsidRPr="002E196B">
        <w:t>complies with</w:t>
      </w:r>
      <w:r w:rsidR="002B7928" w:rsidRPr="002E196B">
        <w:t xml:space="preserve"> </w:t>
      </w:r>
      <w:proofErr w:type="spellStart"/>
      <w:r w:rsidR="0077745D" w:rsidRPr="002E196B">
        <w:t>EIRPsd</w:t>
      </w:r>
      <w:proofErr w:type="spellEnd"/>
      <w:r w:rsidR="0077745D" w:rsidRPr="002E196B">
        <w:t xml:space="preserve"> / EIRP toward the horizon.</w:t>
      </w:r>
    </w:p>
    <w:p w14:paraId="16D40DEF" w14:textId="77777777" w:rsidR="004A55DB" w:rsidRPr="002E196B" w:rsidRDefault="004A55DB" w:rsidP="00552D30">
      <w:pPr>
        <w:rPr>
          <w:b/>
          <w:bCs/>
        </w:rPr>
      </w:pPr>
    </w:p>
    <w:p w14:paraId="60274218" w14:textId="77777777" w:rsidR="0077745D" w:rsidRPr="002E196B" w:rsidRDefault="0077745D" w:rsidP="00425190">
      <w:pPr>
        <w:pStyle w:val="ListParagraph"/>
        <w:numPr>
          <w:ilvl w:val="0"/>
          <w:numId w:val="12"/>
        </w:numPr>
        <w:rPr>
          <w:b/>
          <w:bCs/>
        </w:rPr>
      </w:pPr>
      <w:r w:rsidRPr="002E196B">
        <w:rPr>
          <w:b/>
          <w:bCs/>
        </w:rPr>
        <w:t>Calculations</w:t>
      </w:r>
    </w:p>
    <w:p w14:paraId="5D1F7C5E" w14:textId="77777777" w:rsidR="0077745D" w:rsidRPr="002E196B" w:rsidRDefault="0077745D" w:rsidP="00552D30">
      <w:pPr>
        <w:rPr>
          <w:b/>
          <w:bCs/>
        </w:rPr>
      </w:pPr>
    </w:p>
    <w:p w14:paraId="1BF30056" w14:textId="69852AA4" w:rsidR="008D43B3" w:rsidRPr="002E196B" w:rsidRDefault="00D87695" w:rsidP="00D87695">
      <w:pPr>
        <w:rPr>
          <w:b/>
          <w:bCs/>
        </w:rPr>
      </w:pPr>
      <w:r w:rsidRPr="002E196B">
        <w:rPr>
          <w:b/>
          <w:bCs/>
        </w:rPr>
        <w:t>3.1</w:t>
      </w:r>
      <w:r w:rsidRPr="002E196B">
        <w:rPr>
          <w:b/>
          <w:bCs/>
        </w:rPr>
        <w:tab/>
      </w:r>
      <w:r w:rsidR="00FB685D" w:rsidRPr="002E196B">
        <w:rPr>
          <w:b/>
          <w:bCs/>
        </w:rPr>
        <w:t xml:space="preserve">Terminal </w:t>
      </w:r>
      <w:r w:rsidR="008D43B3" w:rsidRPr="002E196B">
        <w:rPr>
          <w:b/>
          <w:bCs/>
        </w:rPr>
        <w:t>Param</w:t>
      </w:r>
      <w:r w:rsidR="002B7928" w:rsidRPr="002E196B">
        <w:rPr>
          <w:b/>
          <w:bCs/>
        </w:rPr>
        <w:t>e</w:t>
      </w:r>
      <w:r w:rsidR="008D43B3" w:rsidRPr="002E196B">
        <w:rPr>
          <w:b/>
          <w:bCs/>
        </w:rPr>
        <w:t>ters</w:t>
      </w:r>
    </w:p>
    <w:p w14:paraId="553F225C" w14:textId="77777777" w:rsidR="00425190" w:rsidRPr="002E196B" w:rsidRDefault="00425190" w:rsidP="00552D30"/>
    <w:p w14:paraId="1A5D2D2E" w14:textId="12A4BEF9" w:rsidR="00E17995" w:rsidRPr="002E196B" w:rsidRDefault="00E17995" w:rsidP="00552D30">
      <w:r w:rsidRPr="002E196B">
        <w:t xml:space="preserve">Table 1 shows the </w:t>
      </w:r>
      <w:r w:rsidR="005213DC" w:rsidRPr="002E196B">
        <w:t>parameters assumed in the calculations.</w:t>
      </w:r>
    </w:p>
    <w:p w14:paraId="6BA79EA6" w14:textId="77777777" w:rsidR="00E17995" w:rsidRPr="002E196B" w:rsidRDefault="00E17995" w:rsidP="00552D30"/>
    <w:p w14:paraId="187E32CE" w14:textId="77777777" w:rsidR="008D43B3" w:rsidRPr="002E196B" w:rsidRDefault="00E17995" w:rsidP="007F0312">
      <w:pPr>
        <w:rPr>
          <w:rFonts w:eastAsia="Yu Mincho"/>
          <w:b/>
          <w:bCs/>
          <w:lang w:eastAsia="ja-JP"/>
        </w:rPr>
      </w:pPr>
      <w:r w:rsidRPr="002E196B">
        <w:rPr>
          <w:rFonts w:eastAsia="Yu Mincho"/>
          <w:b/>
          <w:bCs/>
          <w:lang w:eastAsia="ja-JP"/>
        </w:rPr>
        <w:t xml:space="preserve">Table 1: </w:t>
      </w:r>
      <w:r w:rsidR="005213DC" w:rsidRPr="002E196B">
        <w:rPr>
          <w:rFonts w:eastAsia="Yu Mincho"/>
          <w:b/>
          <w:bCs/>
          <w:lang w:eastAsia="ja-JP"/>
        </w:rPr>
        <w:t>Assumption parameters</w:t>
      </w:r>
    </w:p>
    <w:tbl>
      <w:tblPr>
        <w:tblStyle w:val="TableGrid"/>
        <w:tblW w:w="5000" w:type="pct"/>
        <w:tblLook w:val="04A0" w:firstRow="1" w:lastRow="0" w:firstColumn="1" w:lastColumn="0" w:noHBand="0" w:noVBand="1"/>
      </w:tblPr>
      <w:tblGrid>
        <w:gridCol w:w="2965"/>
        <w:gridCol w:w="6198"/>
      </w:tblGrid>
      <w:tr w:rsidR="00AF1316" w:rsidRPr="002E196B" w14:paraId="2D87869B" w14:textId="77777777" w:rsidTr="007F0312">
        <w:tc>
          <w:tcPr>
            <w:tcW w:w="1618" w:type="pct"/>
            <w:shd w:val="clear" w:color="auto" w:fill="B4C6E7" w:themeFill="accent1" w:themeFillTint="66"/>
          </w:tcPr>
          <w:p w14:paraId="1C71B351" w14:textId="77777777" w:rsidR="00AF1316" w:rsidRPr="002E196B" w:rsidRDefault="00AF1316" w:rsidP="00552D30">
            <w:pPr>
              <w:pStyle w:val="ListParagraph"/>
              <w:ind w:left="0"/>
              <w:rPr>
                <w:b/>
                <w:bCs/>
              </w:rPr>
            </w:pPr>
          </w:p>
        </w:tc>
        <w:tc>
          <w:tcPr>
            <w:tcW w:w="3382" w:type="pct"/>
            <w:shd w:val="clear" w:color="auto" w:fill="B4C6E7" w:themeFill="accent1" w:themeFillTint="66"/>
          </w:tcPr>
          <w:p w14:paraId="7690D6A6" w14:textId="19998288" w:rsidR="00AF1316" w:rsidRPr="002E196B" w:rsidRDefault="00AF1316" w:rsidP="007F0312">
            <w:pPr>
              <w:pStyle w:val="ListParagraph"/>
              <w:ind w:left="0"/>
              <w:jc w:val="center"/>
            </w:pPr>
            <w:r w:rsidRPr="002E196B">
              <w:rPr>
                <w:b/>
                <w:bCs/>
              </w:rPr>
              <w:t>NGSO Terminal</w:t>
            </w:r>
            <w:r w:rsidR="007F0312" w:rsidRPr="002E196B">
              <w:rPr>
                <w:b/>
                <w:bCs/>
              </w:rPr>
              <w:t xml:space="preserve"> </w:t>
            </w:r>
            <w:r w:rsidRPr="002E196B">
              <w:t>(of an existing constellation)</w:t>
            </w:r>
          </w:p>
        </w:tc>
      </w:tr>
      <w:tr w:rsidR="00AF1316" w:rsidRPr="002E196B" w14:paraId="4EB1B42A" w14:textId="77777777" w:rsidTr="007F0312">
        <w:tc>
          <w:tcPr>
            <w:tcW w:w="1618" w:type="pct"/>
          </w:tcPr>
          <w:p w14:paraId="3231D0B7" w14:textId="77777777" w:rsidR="00AF1316" w:rsidRPr="002E196B" w:rsidRDefault="00AF1316" w:rsidP="00552D30">
            <w:pPr>
              <w:pStyle w:val="ListParagraph"/>
              <w:ind w:left="0"/>
              <w:rPr>
                <w:b/>
                <w:bCs/>
              </w:rPr>
            </w:pPr>
            <w:r w:rsidRPr="002E196B">
              <w:rPr>
                <w:b/>
                <w:bCs/>
              </w:rPr>
              <w:t xml:space="preserve">Carrier frequency </w:t>
            </w:r>
          </w:p>
        </w:tc>
        <w:tc>
          <w:tcPr>
            <w:tcW w:w="3382" w:type="pct"/>
          </w:tcPr>
          <w:p w14:paraId="3C20BAF9" w14:textId="77777777" w:rsidR="00AF1316" w:rsidRPr="002E196B" w:rsidRDefault="00AF1316" w:rsidP="00552D30">
            <w:pPr>
              <w:pStyle w:val="ListParagraph"/>
              <w:ind w:left="34"/>
              <w:jc w:val="center"/>
            </w:pPr>
            <w:r w:rsidRPr="002E196B">
              <w:t>14250 MHz</w:t>
            </w:r>
          </w:p>
        </w:tc>
      </w:tr>
      <w:tr w:rsidR="00AF1316" w:rsidRPr="002E196B" w14:paraId="27D93476" w14:textId="77777777" w:rsidTr="007F0312">
        <w:tc>
          <w:tcPr>
            <w:tcW w:w="1618" w:type="pct"/>
          </w:tcPr>
          <w:p w14:paraId="55E4ABC7" w14:textId="77777777" w:rsidR="00AF1316" w:rsidRPr="002E196B" w:rsidRDefault="00AF1316" w:rsidP="00552D30">
            <w:pPr>
              <w:pStyle w:val="ListParagraph"/>
              <w:ind w:left="0"/>
              <w:rPr>
                <w:b/>
                <w:bCs/>
              </w:rPr>
            </w:pPr>
            <w:r w:rsidRPr="002E196B">
              <w:rPr>
                <w:b/>
                <w:bCs/>
              </w:rPr>
              <w:t>Diameter (D)</w:t>
            </w:r>
          </w:p>
        </w:tc>
        <w:tc>
          <w:tcPr>
            <w:tcW w:w="3382" w:type="pct"/>
          </w:tcPr>
          <w:p w14:paraId="409ED188" w14:textId="77777777" w:rsidR="00AF1316" w:rsidRPr="002E196B" w:rsidRDefault="00AF1316" w:rsidP="00552D30">
            <w:pPr>
              <w:pStyle w:val="ListParagraph"/>
              <w:ind w:left="34"/>
              <w:jc w:val="center"/>
            </w:pPr>
            <w:r w:rsidRPr="002E196B">
              <w:t>60 cm</w:t>
            </w:r>
          </w:p>
        </w:tc>
      </w:tr>
      <w:tr w:rsidR="00AF1316" w:rsidRPr="002E196B" w14:paraId="38988FE7" w14:textId="77777777" w:rsidTr="007F0312">
        <w:tc>
          <w:tcPr>
            <w:tcW w:w="1618" w:type="pct"/>
          </w:tcPr>
          <w:p w14:paraId="71350D32" w14:textId="77777777" w:rsidR="00AF1316" w:rsidRPr="002E196B" w:rsidRDefault="00AF1316" w:rsidP="00552D30">
            <w:pPr>
              <w:pStyle w:val="ListParagraph"/>
              <w:ind w:left="0"/>
              <w:rPr>
                <w:b/>
                <w:bCs/>
              </w:rPr>
            </w:pPr>
            <w:r w:rsidRPr="002E196B">
              <w:rPr>
                <w:b/>
                <w:bCs/>
              </w:rPr>
              <w:t>Carrier bandwidth (BW)</w:t>
            </w:r>
          </w:p>
        </w:tc>
        <w:tc>
          <w:tcPr>
            <w:tcW w:w="3382" w:type="pct"/>
          </w:tcPr>
          <w:p w14:paraId="1B481D4B" w14:textId="77777777" w:rsidR="00AF1316" w:rsidRPr="002E196B" w:rsidRDefault="00AF1316" w:rsidP="00552D30">
            <w:pPr>
              <w:pStyle w:val="ListParagraph"/>
              <w:ind w:left="34"/>
              <w:jc w:val="center"/>
            </w:pPr>
            <w:r w:rsidRPr="002E196B">
              <w:t>20 MHz</w:t>
            </w:r>
          </w:p>
        </w:tc>
      </w:tr>
      <w:tr w:rsidR="00AF1316" w:rsidRPr="002E196B" w14:paraId="698B54F6" w14:textId="77777777" w:rsidTr="007F0312">
        <w:tc>
          <w:tcPr>
            <w:tcW w:w="1618" w:type="pct"/>
          </w:tcPr>
          <w:p w14:paraId="33CD06B5" w14:textId="77777777" w:rsidR="00AF1316" w:rsidRPr="002E196B" w:rsidRDefault="00AF1316" w:rsidP="00552D30">
            <w:pPr>
              <w:pStyle w:val="ListParagraph"/>
              <w:ind w:left="0"/>
              <w:rPr>
                <w:b/>
                <w:bCs/>
              </w:rPr>
            </w:pPr>
            <w:r w:rsidRPr="002E196B">
              <w:rPr>
                <w:b/>
                <w:bCs/>
              </w:rPr>
              <w:t>Peak EIRP</w:t>
            </w:r>
          </w:p>
        </w:tc>
        <w:tc>
          <w:tcPr>
            <w:tcW w:w="3382" w:type="pct"/>
          </w:tcPr>
          <w:p w14:paraId="5B871DB3" w14:textId="083821F9" w:rsidR="00AF1316" w:rsidRPr="002E196B" w:rsidRDefault="00AF1316" w:rsidP="00425190">
            <w:pPr>
              <w:pStyle w:val="ListParagraph"/>
              <w:numPr>
                <w:ilvl w:val="0"/>
                <w:numId w:val="8"/>
              </w:numPr>
              <w:jc w:val="center"/>
            </w:pPr>
            <w:proofErr w:type="spellStart"/>
            <w:r w:rsidRPr="002E196B">
              <w:t>dBW</w:t>
            </w:r>
            <w:proofErr w:type="spellEnd"/>
            <w:r w:rsidRPr="002E196B">
              <w:rPr>
                <w:rStyle w:val="FootnoteReference"/>
              </w:rPr>
              <w:footnoteReference w:id="6"/>
            </w:r>
            <w:r w:rsidR="000606C1" w:rsidRPr="002E196B">
              <w:t xml:space="preserve"> / 35.8 </w:t>
            </w:r>
            <w:proofErr w:type="spellStart"/>
            <w:r w:rsidR="000606C1" w:rsidRPr="002E196B">
              <w:t>dBW</w:t>
            </w:r>
            <w:proofErr w:type="spellEnd"/>
          </w:p>
        </w:tc>
      </w:tr>
    </w:tbl>
    <w:p w14:paraId="23F548A9" w14:textId="77777777" w:rsidR="00425190" w:rsidRPr="002E196B" w:rsidRDefault="00425190">
      <w:pPr>
        <w:spacing w:after="160" w:line="259" w:lineRule="auto"/>
        <w:rPr>
          <w:b/>
          <w:bCs/>
        </w:rPr>
      </w:pPr>
      <w:r w:rsidRPr="002E196B">
        <w:rPr>
          <w:b/>
          <w:bCs/>
        </w:rPr>
        <w:br w:type="page"/>
      </w:r>
    </w:p>
    <w:p w14:paraId="0E39D3C2" w14:textId="23FFB5FC" w:rsidR="00FB685D" w:rsidRPr="002E196B" w:rsidRDefault="00336396" w:rsidP="00336396">
      <w:pPr>
        <w:rPr>
          <w:b/>
          <w:bCs/>
        </w:rPr>
      </w:pPr>
      <w:r w:rsidRPr="002E196B">
        <w:rPr>
          <w:b/>
          <w:bCs/>
        </w:rPr>
        <w:lastRenderedPageBreak/>
        <w:t>3.2</w:t>
      </w:r>
      <w:r w:rsidRPr="002E196B">
        <w:rPr>
          <w:b/>
          <w:bCs/>
        </w:rPr>
        <w:tab/>
      </w:r>
      <w:r w:rsidR="00735D5F" w:rsidRPr="002E196B">
        <w:rPr>
          <w:b/>
          <w:bCs/>
        </w:rPr>
        <w:t>Antenna parameters</w:t>
      </w:r>
    </w:p>
    <w:p w14:paraId="2A77C536" w14:textId="77777777" w:rsidR="00234BB5" w:rsidRPr="002E196B" w:rsidRDefault="00234BB5" w:rsidP="00552D30"/>
    <w:p w14:paraId="7705D015" w14:textId="050BA2F8" w:rsidR="00EC60F9" w:rsidRPr="002E196B" w:rsidRDefault="00EC60F9" w:rsidP="00552D30">
      <w:r w:rsidRPr="002E196B">
        <w:t>From the table above we get:</w:t>
      </w:r>
    </w:p>
    <w:p w14:paraId="350CBC6D" w14:textId="77777777" w:rsidR="00EC60F9" w:rsidRPr="002E196B" w:rsidRDefault="00EC60F9" w:rsidP="00552D30">
      <w:pPr>
        <w:rPr>
          <w:b/>
          <w:bCs/>
        </w:rPr>
      </w:pPr>
    </w:p>
    <w:p w14:paraId="44A572BF" w14:textId="620AB51D" w:rsidR="00735D5F" w:rsidRPr="002E196B" w:rsidRDefault="00735D5F" w:rsidP="00425190">
      <w:pPr>
        <w:pStyle w:val="ListParagraph"/>
        <w:numPr>
          <w:ilvl w:val="0"/>
          <w:numId w:val="6"/>
        </w:numPr>
      </w:pPr>
      <w:proofErr w:type="spellStart"/>
      <w:r w:rsidRPr="002E196B">
        <w:rPr>
          <w:b/>
          <w:bCs/>
        </w:rPr>
        <w:t>Gpeak</w:t>
      </w:r>
      <w:proofErr w:type="spellEnd"/>
      <w:r w:rsidRPr="002E196B">
        <w:t xml:space="preserve"> </w:t>
      </w:r>
      <w:r w:rsidR="007F0312" w:rsidRPr="002E196B">
        <w:tab/>
      </w:r>
      <w:r w:rsidR="007F0312" w:rsidRPr="002E196B">
        <w:tab/>
      </w:r>
      <w:r w:rsidRPr="002E196B">
        <w:t>= 10 Log (</w:t>
      </w:r>
      <w:r w:rsidRPr="002E196B">
        <w:rPr>
          <w:rFonts w:ascii="Symbol" w:hAnsi="Symbol"/>
        </w:rPr>
        <w:t></w:t>
      </w:r>
      <w:r w:rsidRPr="002E196B">
        <w:rPr>
          <w:rFonts w:ascii="Symbol" w:hAnsi="Symbol"/>
        </w:rPr>
        <w:t></w:t>
      </w:r>
      <w:r w:rsidRPr="002E196B">
        <w:t>(</w:t>
      </w:r>
      <w:r w:rsidRPr="002E196B">
        <w:rPr>
          <w:rFonts w:ascii="Symbol" w:hAnsi="Symbol"/>
        </w:rPr>
        <w:t></w:t>
      </w:r>
      <w:r w:rsidRPr="002E196B">
        <w:t xml:space="preserve"> D/</w:t>
      </w:r>
      <w:r w:rsidRPr="002E196B">
        <w:rPr>
          <w:rFonts w:ascii="Symbol" w:hAnsi="Symbol"/>
        </w:rPr>
        <w:t></w:t>
      </w:r>
      <w:r w:rsidRPr="002E196B">
        <w:t>)</w:t>
      </w:r>
      <w:r w:rsidRPr="002E196B">
        <w:rPr>
          <w:vertAlign w:val="superscript"/>
        </w:rPr>
        <w:t>2</w:t>
      </w:r>
      <w:r w:rsidRPr="002E196B">
        <w:t>)</w:t>
      </w:r>
    </w:p>
    <w:p w14:paraId="1A2FD85D" w14:textId="77777777" w:rsidR="002362EE" w:rsidRPr="002E196B" w:rsidRDefault="002362EE" w:rsidP="00552D30"/>
    <w:p w14:paraId="388C2C7F" w14:textId="77777777" w:rsidR="002362EE" w:rsidRPr="002E196B" w:rsidRDefault="002362EE" w:rsidP="007905C1">
      <w:pPr>
        <w:ind w:left="1080"/>
      </w:pPr>
      <w:r w:rsidRPr="002E196B">
        <w:t>Where:</w:t>
      </w:r>
    </w:p>
    <w:p w14:paraId="7493CD44" w14:textId="77777777" w:rsidR="002362EE" w:rsidRPr="002E196B" w:rsidRDefault="002362EE" w:rsidP="00552D30">
      <w:pPr>
        <w:ind w:left="720"/>
        <w:rPr>
          <w:rFonts w:ascii="Symbol" w:hAnsi="Symbol" w:hint="eastAsia"/>
        </w:rPr>
      </w:pPr>
      <w:r w:rsidRPr="002E196B">
        <w:tab/>
      </w:r>
      <w:r w:rsidRPr="002E196B">
        <w:rPr>
          <w:rFonts w:ascii="Symbol" w:hAnsi="Symbol"/>
        </w:rPr>
        <w:t></w:t>
      </w:r>
      <w:r w:rsidRPr="002E196B">
        <w:rPr>
          <w:rFonts w:ascii="Symbol" w:hAnsi="Symbol"/>
        </w:rPr>
        <w:t></w:t>
      </w:r>
      <w:r w:rsidRPr="002E196B">
        <w:rPr>
          <w:rFonts w:asciiTheme="minorHAnsi" w:hAnsiTheme="minorHAnsi" w:cstheme="minorHAnsi"/>
        </w:rPr>
        <w:t xml:space="preserve">= </w:t>
      </w:r>
      <w:r w:rsidRPr="002E196B">
        <w:t xml:space="preserve">efficiency of the antenna, usually for parabolic antennas this is 0.6. </w:t>
      </w:r>
    </w:p>
    <w:p w14:paraId="65368E54" w14:textId="77777777" w:rsidR="008E4FEC" w:rsidRPr="002E196B" w:rsidRDefault="002362EE" w:rsidP="007905C1">
      <w:pPr>
        <w:ind w:left="1440"/>
        <w:jc w:val="both"/>
      </w:pPr>
      <w:r w:rsidRPr="002E196B">
        <w:rPr>
          <w:rFonts w:ascii="Symbol" w:hAnsi="Symbol"/>
        </w:rPr>
        <w:t></w:t>
      </w:r>
      <w:r w:rsidRPr="002E196B">
        <w:rPr>
          <w:rFonts w:ascii="Symbol" w:hAnsi="Symbol"/>
        </w:rPr>
        <w:t></w:t>
      </w:r>
      <w:r w:rsidRPr="002E196B">
        <w:rPr>
          <w:rFonts w:asciiTheme="minorHAnsi" w:hAnsiTheme="minorHAnsi" w:cstheme="minorHAnsi"/>
        </w:rPr>
        <w:t xml:space="preserve">= </w:t>
      </w:r>
      <w:r w:rsidRPr="002E196B">
        <w:t>is the wavelength of the carrier</w:t>
      </w:r>
      <w:r w:rsidR="008E4FEC" w:rsidRPr="002E196B">
        <w:t xml:space="preserve">, equal to c/f. with c being the speed of light </w:t>
      </w:r>
    </w:p>
    <w:p w14:paraId="78FF2A9E" w14:textId="77777777" w:rsidR="002362EE" w:rsidRPr="002E196B" w:rsidRDefault="008E4FEC" w:rsidP="00552D30">
      <w:pPr>
        <w:ind w:left="720" w:firstLine="720"/>
      </w:pPr>
      <w:r w:rsidRPr="002E196B">
        <w:t xml:space="preserve">      and f is the carrier frequency.</w:t>
      </w:r>
    </w:p>
    <w:p w14:paraId="7012E422" w14:textId="77777777" w:rsidR="009A4BFF" w:rsidRPr="002E196B" w:rsidRDefault="009A4BFF" w:rsidP="00552D30">
      <w:pPr>
        <w:ind w:left="720" w:firstLine="720"/>
      </w:pPr>
      <w:r w:rsidRPr="002E196B">
        <w:rPr>
          <w:rFonts w:ascii="Symbol" w:hAnsi="Symbol"/>
        </w:rPr>
        <w:t></w:t>
      </w:r>
      <w:r w:rsidRPr="002E196B">
        <w:rPr>
          <w:rFonts w:ascii="Symbol" w:hAnsi="Symbol"/>
        </w:rPr>
        <w:t></w:t>
      </w:r>
      <w:r w:rsidRPr="002E196B">
        <w:rPr>
          <w:rFonts w:asciiTheme="minorHAnsi" w:hAnsiTheme="minorHAnsi" w:cstheme="minorHAnsi"/>
        </w:rPr>
        <w:t xml:space="preserve">= </w:t>
      </w:r>
      <w:r w:rsidRPr="002E196B">
        <w:t>3.1415…</w:t>
      </w:r>
      <w:r w:rsidRPr="002E196B">
        <w:rPr>
          <w:rFonts w:asciiTheme="minorHAnsi" w:hAnsiTheme="minorHAnsi" w:cstheme="minorHAnsi"/>
        </w:rPr>
        <w:t xml:space="preserve"> </w:t>
      </w:r>
    </w:p>
    <w:p w14:paraId="1FC6EC8E" w14:textId="77777777" w:rsidR="00735D5F" w:rsidRPr="002E196B" w:rsidRDefault="00735D5F" w:rsidP="00552D30">
      <w:pPr>
        <w:pStyle w:val="ListParagraph"/>
      </w:pPr>
    </w:p>
    <w:p w14:paraId="2D6DD556" w14:textId="77777777" w:rsidR="009A4BFF" w:rsidRPr="002E196B" w:rsidRDefault="009A4BFF" w:rsidP="007905C1">
      <w:pPr>
        <w:ind w:left="1080"/>
      </w:pPr>
      <w:r w:rsidRPr="002E196B">
        <w:t>Thus:</w:t>
      </w:r>
    </w:p>
    <w:p w14:paraId="699DFE3C" w14:textId="09E67379" w:rsidR="00735D5F" w:rsidRPr="002E196B" w:rsidRDefault="00735D5F" w:rsidP="007905C1">
      <w:pPr>
        <w:ind w:left="360" w:firstLine="720"/>
      </w:pPr>
      <w:proofErr w:type="spellStart"/>
      <w:r w:rsidRPr="002E196B">
        <w:t>Gpeak</w:t>
      </w:r>
      <w:proofErr w:type="spellEnd"/>
      <w:r w:rsidRPr="002E196B">
        <w:t xml:space="preserve"> </w:t>
      </w:r>
      <w:r w:rsidR="007905C1" w:rsidRPr="002E196B">
        <w:tab/>
      </w:r>
      <w:r w:rsidR="007905C1" w:rsidRPr="002E196B">
        <w:tab/>
      </w:r>
      <w:r w:rsidRPr="002E196B">
        <w:t>= 36.8 [</w:t>
      </w:r>
      <w:proofErr w:type="spellStart"/>
      <w:r w:rsidRPr="002E196B">
        <w:t>dBi</w:t>
      </w:r>
      <w:proofErr w:type="spellEnd"/>
      <w:r w:rsidRPr="002E196B">
        <w:t>]</w:t>
      </w:r>
    </w:p>
    <w:p w14:paraId="6D2F3443" w14:textId="77777777" w:rsidR="00735D5F" w:rsidRPr="002E196B" w:rsidRDefault="00735D5F" w:rsidP="00552D30">
      <w:pPr>
        <w:ind w:left="1134"/>
      </w:pPr>
    </w:p>
    <w:p w14:paraId="46F4E0D5" w14:textId="3C9CAFA2" w:rsidR="00735D5F" w:rsidRPr="002E196B" w:rsidRDefault="00735D5F" w:rsidP="00425190">
      <w:pPr>
        <w:pStyle w:val="ListParagraph"/>
        <w:numPr>
          <w:ilvl w:val="0"/>
          <w:numId w:val="6"/>
        </w:numPr>
      </w:pPr>
      <w:r w:rsidRPr="002E196B">
        <w:rPr>
          <w:b/>
          <w:bCs/>
        </w:rPr>
        <w:t>Beamwidth</w:t>
      </w:r>
      <w:r w:rsidRPr="002E196B">
        <w:t xml:space="preserve"> </w:t>
      </w:r>
      <w:r w:rsidR="007F0312" w:rsidRPr="002E196B">
        <w:tab/>
      </w:r>
      <w:r w:rsidRPr="002E196B">
        <w:t xml:space="preserve">= 70 </w:t>
      </w:r>
      <w:r w:rsidRPr="002E196B">
        <w:rPr>
          <w:rFonts w:ascii="Symbol" w:hAnsi="Symbol"/>
        </w:rPr>
        <w:t></w:t>
      </w:r>
      <w:r w:rsidRPr="002E196B">
        <w:t>/D</w:t>
      </w:r>
    </w:p>
    <w:p w14:paraId="3C9FC505" w14:textId="4FD2FC84" w:rsidR="00735D5F" w:rsidRPr="002E196B" w:rsidRDefault="00735D5F" w:rsidP="007905C1">
      <w:pPr>
        <w:ind w:left="2160" w:firstLine="720"/>
      </w:pPr>
      <w:r w:rsidRPr="002E196B">
        <w:t>= 2.46 degrees</w:t>
      </w:r>
    </w:p>
    <w:p w14:paraId="58562735" w14:textId="77777777" w:rsidR="00735D5F" w:rsidRPr="002E196B" w:rsidRDefault="00735D5F" w:rsidP="00552D30">
      <w:pPr>
        <w:ind w:left="1134"/>
      </w:pPr>
    </w:p>
    <w:p w14:paraId="7C2B06A6" w14:textId="4EAABD15" w:rsidR="00735D5F" w:rsidRPr="002E196B" w:rsidRDefault="00735D5F" w:rsidP="00425190">
      <w:pPr>
        <w:pStyle w:val="ListParagraph"/>
        <w:numPr>
          <w:ilvl w:val="0"/>
          <w:numId w:val="6"/>
        </w:numPr>
        <w:jc w:val="both"/>
      </w:pPr>
      <w:r w:rsidRPr="002E196B">
        <w:t xml:space="preserve">The </w:t>
      </w:r>
      <w:r w:rsidRPr="002E196B">
        <w:rPr>
          <w:b/>
          <w:bCs/>
        </w:rPr>
        <w:t xml:space="preserve">off-axis antenna gain </w:t>
      </w:r>
      <w:proofErr w:type="gramStart"/>
      <w:r w:rsidRPr="002E196B">
        <w:rPr>
          <w:b/>
          <w:bCs/>
        </w:rPr>
        <w:t>G(</w:t>
      </w:r>
      <w:proofErr w:type="gramEnd"/>
      <w:r w:rsidRPr="002E196B">
        <w:rPr>
          <w:rFonts w:ascii="Symbol" w:hAnsi="Symbol"/>
          <w:b/>
          <w:bCs/>
        </w:rPr>
        <w:t></w:t>
      </w:r>
      <w:r w:rsidRPr="002E196B">
        <w:rPr>
          <w:b/>
          <w:bCs/>
        </w:rPr>
        <w:t>)</w:t>
      </w:r>
      <w:r w:rsidRPr="002E196B">
        <w:t xml:space="preserve"> is calculate</w:t>
      </w:r>
      <w:r w:rsidR="00F44A41" w:rsidRPr="002E196B">
        <w:t>d</w:t>
      </w:r>
      <w:r w:rsidRPr="002E196B">
        <w:t xml:space="preserve"> based on some given pattern, for example, ITU RR Appendix </w:t>
      </w:r>
      <w:r w:rsidRPr="002E196B">
        <w:rPr>
          <w:b/>
          <w:bCs/>
        </w:rPr>
        <w:t>8</w:t>
      </w:r>
      <w:r w:rsidRPr="002E196B">
        <w:t>, Annex 3, or, since the antenna has a small D/</w:t>
      </w:r>
      <w:r w:rsidRPr="002E196B">
        <w:rPr>
          <w:rFonts w:ascii="Symbol" w:hAnsi="Symbol"/>
        </w:rPr>
        <w:t></w:t>
      </w:r>
      <w:r w:rsidRPr="002E196B">
        <w:t xml:space="preserve"> is &lt; 30, we needed to use an appropriate agreed ITU antenna pattern. For simplicity we chose Recommendation</w:t>
      </w:r>
      <w:r w:rsidR="005213DC" w:rsidRPr="002E196B">
        <w:t xml:space="preserve"> ITU-R</w:t>
      </w:r>
      <w:r w:rsidRPr="002E196B">
        <w:t xml:space="preserve"> S.1855</w:t>
      </w:r>
      <w:r w:rsidR="00A91EE1" w:rsidRPr="002E196B">
        <w:t xml:space="preserve"> (although, ITU-R Recommendation S.1428 would be more appropriate for NGSO satellite terminals)</w:t>
      </w:r>
      <w:r w:rsidRPr="002E196B">
        <w:t>, shown below.</w:t>
      </w:r>
    </w:p>
    <w:p w14:paraId="702222F5" w14:textId="77777777" w:rsidR="007F0312" w:rsidRPr="002E196B" w:rsidRDefault="007F0312" w:rsidP="00234BB5">
      <w:pPr>
        <w:pStyle w:val="ListParagraph"/>
        <w:ind w:left="360"/>
      </w:pPr>
    </w:p>
    <w:p w14:paraId="19AB0BD0" w14:textId="77777777" w:rsidR="00735D5F" w:rsidRPr="002E196B" w:rsidRDefault="00735D5F" w:rsidP="00552D30">
      <w:pPr>
        <w:ind w:left="1134"/>
      </w:pPr>
      <w:r w:rsidRPr="002E196B">
        <w:rPr>
          <w:noProof/>
          <w:lang w:val="en-GB" w:eastAsia="en-GB"/>
        </w:rPr>
        <w:drawing>
          <wp:inline distT="0" distB="0" distL="0" distR="0" wp14:anchorId="6A6651D3" wp14:editId="725DEE1B">
            <wp:extent cx="5150331" cy="3200400"/>
            <wp:effectExtent l="0" t="0" r="0" b="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8019" cy="3211391"/>
                    </a:xfrm>
                    <a:prstGeom prst="rect">
                      <a:avLst/>
                    </a:prstGeom>
                    <a:noFill/>
                  </pic:spPr>
                </pic:pic>
              </a:graphicData>
            </a:graphic>
          </wp:inline>
        </w:drawing>
      </w:r>
    </w:p>
    <w:p w14:paraId="5160BDD9" w14:textId="77777777" w:rsidR="00425190" w:rsidRPr="002E196B" w:rsidRDefault="00425190" w:rsidP="00552D30">
      <w:pPr>
        <w:ind w:left="1134"/>
      </w:pPr>
    </w:p>
    <w:p w14:paraId="4C6BB929" w14:textId="77777777" w:rsidR="00425190" w:rsidRPr="002E196B" w:rsidRDefault="00425190">
      <w:pPr>
        <w:spacing w:after="160" w:line="259" w:lineRule="auto"/>
        <w:rPr>
          <w:b/>
          <w:bCs/>
        </w:rPr>
      </w:pPr>
      <w:r w:rsidRPr="002E196B">
        <w:rPr>
          <w:b/>
          <w:bCs/>
        </w:rPr>
        <w:br w:type="page"/>
      </w:r>
    </w:p>
    <w:p w14:paraId="21F2E6C1" w14:textId="1448EAFD" w:rsidR="003D7F00" w:rsidRPr="002E196B" w:rsidRDefault="00DD4804" w:rsidP="00425190">
      <w:pPr>
        <w:spacing w:after="160" w:line="259" w:lineRule="auto"/>
        <w:rPr>
          <w:b/>
          <w:bCs/>
        </w:rPr>
      </w:pPr>
      <w:r w:rsidRPr="002E196B">
        <w:rPr>
          <w:b/>
          <w:bCs/>
        </w:rPr>
        <w:lastRenderedPageBreak/>
        <w:t>3.3</w:t>
      </w:r>
      <w:r w:rsidRPr="002E196B">
        <w:rPr>
          <w:b/>
          <w:bCs/>
        </w:rPr>
        <w:tab/>
      </w:r>
      <w:r w:rsidR="0098199F" w:rsidRPr="002E196B">
        <w:rPr>
          <w:b/>
          <w:bCs/>
        </w:rPr>
        <w:t>EIRP toward the horizon</w:t>
      </w:r>
    </w:p>
    <w:p w14:paraId="0243FB48" w14:textId="77777777" w:rsidR="00234BB5" w:rsidRPr="002E196B" w:rsidRDefault="00234BB5" w:rsidP="00552D30"/>
    <w:p w14:paraId="3DBF7BC0" w14:textId="53C9DD84" w:rsidR="0098199F" w:rsidRPr="002E196B" w:rsidRDefault="0098199F" w:rsidP="00552D30">
      <w:r w:rsidRPr="002E196B">
        <w:t>The EIRP toward the horizon is calculated as:</w:t>
      </w:r>
    </w:p>
    <w:p w14:paraId="028DB24F" w14:textId="77777777" w:rsidR="007F0312" w:rsidRPr="002E196B" w:rsidRDefault="007F0312" w:rsidP="00552D30"/>
    <w:p w14:paraId="44565049" w14:textId="70AA4C60" w:rsidR="0098199F" w:rsidRPr="002E196B" w:rsidRDefault="0098199F" w:rsidP="00552D30">
      <w:r w:rsidRPr="002E196B">
        <w:tab/>
      </w:r>
      <w:proofErr w:type="spellStart"/>
      <w:r w:rsidRPr="002E196B">
        <w:t>EIRP</w:t>
      </w:r>
      <w:r w:rsidRPr="002E196B">
        <w:rPr>
          <w:vertAlign w:val="subscript"/>
        </w:rPr>
        <w:t>horizon</w:t>
      </w:r>
      <w:proofErr w:type="spellEnd"/>
      <w:r w:rsidRPr="002E196B">
        <w:t xml:space="preserve"> = EIRP – </w:t>
      </w:r>
      <w:proofErr w:type="spellStart"/>
      <w:r w:rsidRPr="002E196B">
        <w:t>Gpeak</w:t>
      </w:r>
      <w:proofErr w:type="spellEnd"/>
      <w:r w:rsidRPr="002E196B">
        <w:t xml:space="preserve"> + </w:t>
      </w:r>
      <w:proofErr w:type="gramStart"/>
      <w:r w:rsidRPr="002E196B">
        <w:t>G(</w:t>
      </w:r>
      <w:proofErr w:type="gramEnd"/>
      <w:r w:rsidR="0099022E" w:rsidRPr="002E196B">
        <w:rPr>
          <w:rFonts w:ascii="Symbol" w:hAnsi="Symbol"/>
        </w:rPr>
        <w:t></w:t>
      </w:r>
      <w:r w:rsidR="000F0159" w:rsidRPr="002E196B">
        <w:rPr>
          <w:rFonts w:ascii="Symbol" w:hAnsi="Symbol"/>
        </w:rPr>
        <w:t></w:t>
      </w:r>
      <w:r w:rsidR="003F35C5" w:rsidRPr="002E196B">
        <w:rPr>
          <w:rFonts w:ascii="Symbol" w:hAnsi="Symbol"/>
        </w:rPr>
        <w:t></w:t>
      </w:r>
      <w:r w:rsidR="000F0159" w:rsidRPr="002E196B">
        <w:rPr>
          <w:rFonts w:ascii="Symbol" w:hAnsi="Symbol"/>
        </w:rPr>
        <w:t></w:t>
      </w:r>
      <w:r w:rsidR="003F35C5" w:rsidRPr="002E196B">
        <w:rPr>
          <w:rFonts w:ascii="Symbol" w:hAnsi="Symbol"/>
        </w:rPr>
        <w:t></w:t>
      </w:r>
      <w:r w:rsidRPr="002E196B">
        <w:t>)</w:t>
      </w:r>
    </w:p>
    <w:p w14:paraId="3E52EB25" w14:textId="77777777" w:rsidR="00147CFA" w:rsidRPr="002E196B" w:rsidRDefault="00147CFA" w:rsidP="00552D30"/>
    <w:p w14:paraId="0E13B021" w14:textId="77777777" w:rsidR="00147CFA" w:rsidRPr="002E196B" w:rsidRDefault="00147CFA" w:rsidP="007F0312">
      <w:pPr>
        <w:ind w:left="720"/>
      </w:pPr>
      <w:r w:rsidRPr="002E196B">
        <w:t>Where:</w:t>
      </w:r>
    </w:p>
    <w:p w14:paraId="74FD8CD0" w14:textId="05B2DC1B" w:rsidR="00147CFA" w:rsidRPr="002E196B" w:rsidRDefault="00147CFA" w:rsidP="007F0312">
      <w:pPr>
        <w:ind w:left="1440"/>
      </w:pPr>
      <w:r w:rsidRPr="002E196B">
        <w:t xml:space="preserve">EIRP is the </w:t>
      </w:r>
      <w:r w:rsidR="0099022E" w:rsidRPr="002E196B">
        <w:t>Earth station peak EIRP (at boresight)</w:t>
      </w:r>
      <w:r w:rsidR="007F0312" w:rsidRPr="002E196B">
        <w:t>.</w:t>
      </w:r>
    </w:p>
    <w:p w14:paraId="3E100A76" w14:textId="17C65128" w:rsidR="0099022E" w:rsidRPr="002E196B" w:rsidRDefault="0099022E" w:rsidP="007F0312">
      <w:pPr>
        <w:ind w:left="1440"/>
      </w:pPr>
      <w:proofErr w:type="spellStart"/>
      <w:r w:rsidRPr="002E196B">
        <w:t>Gpeak</w:t>
      </w:r>
      <w:proofErr w:type="spellEnd"/>
      <w:r w:rsidRPr="002E196B">
        <w:t xml:space="preserve"> is the antenna gain at the boresight</w:t>
      </w:r>
      <w:r w:rsidR="007F0312" w:rsidRPr="002E196B">
        <w:t>.</w:t>
      </w:r>
    </w:p>
    <w:p w14:paraId="086E374C" w14:textId="77777777" w:rsidR="0099022E" w:rsidRPr="002E196B" w:rsidRDefault="0099022E" w:rsidP="007F0312">
      <w:pPr>
        <w:ind w:left="1440"/>
      </w:pPr>
      <w:proofErr w:type="gramStart"/>
      <w:r w:rsidRPr="002E196B">
        <w:t>G(</w:t>
      </w:r>
      <w:proofErr w:type="gramEnd"/>
      <w:r w:rsidRPr="002E196B">
        <w:rPr>
          <w:rFonts w:ascii="Symbol" w:hAnsi="Symbol"/>
        </w:rPr>
        <w:t></w:t>
      </w:r>
      <w:r w:rsidRPr="002E196B">
        <w:t>) is the antenna gain at an ang</w:t>
      </w:r>
      <w:r w:rsidR="003F35C5" w:rsidRPr="002E196B">
        <w:t>l</w:t>
      </w:r>
      <w:r w:rsidRPr="002E196B">
        <w:t xml:space="preserve">e </w:t>
      </w:r>
      <w:r w:rsidR="003F35C5" w:rsidRPr="002E196B">
        <w:rPr>
          <w:rFonts w:ascii="Symbol" w:hAnsi="Symbol"/>
        </w:rPr>
        <w:t></w:t>
      </w:r>
      <w:r w:rsidRPr="002E196B">
        <w:t xml:space="preserve"> from the boresight.</w:t>
      </w:r>
    </w:p>
    <w:p w14:paraId="074C1DB4" w14:textId="77777777" w:rsidR="003F35C5" w:rsidRPr="002E196B" w:rsidRDefault="003F35C5" w:rsidP="007F0312">
      <w:pPr>
        <w:ind w:left="1440"/>
      </w:pPr>
      <w:r w:rsidRPr="002E196B">
        <w:rPr>
          <w:rFonts w:ascii="Symbol" w:hAnsi="Symbol"/>
        </w:rPr>
        <w:t></w:t>
      </w:r>
      <w:r w:rsidRPr="002E196B">
        <w:t xml:space="preserve"> is the elevation angle of the boresight with respect to the local horizontal plane.</w:t>
      </w:r>
    </w:p>
    <w:p w14:paraId="0E1C339F" w14:textId="77777777" w:rsidR="0098199F" w:rsidRPr="002E196B" w:rsidRDefault="0098199F" w:rsidP="00552D30">
      <w:pPr>
        <w:pStyle w:val="ListParagraph"/>
        <w:ind w:left="360"/>
        <w:rPr>
          <w:b/>
          <w:bCs/>
        </w:rPr>
      </w:pPr>
    </w:p>
    <w:p w14:paraId="6AF51B33" w14:textId="77777777" w:rsidR="0008379C" w:rsidRPr="002E196B" w:rsidRDefault="0008379C" w:rsidP="00552D30">
      <w:r w:rsidRPr="002E196B">
        <w:t>The results of the calculations below are:</w:t>
      </w:r>
    </w:p>
    <w:p w14:paraId="58215575" w14:textId="77777777" w:rsidR="0008379C" w:rsidRPr="002E196B" w:rsidRDefault="0008379C" w:rsidP="00552D30">
      <w:pPr>
        <w:pStyle w:val="ListParagraph"/>
        <w:ind w:left="360"/>
        <w:rPr>
          <w:b/>
          <w:bCs/>
        </w:rPr>
      </w:pPr>
    </w:p>
    <w:tbl>
      <w:tblPr>
        <w:tblStyle w:val="TableGrid"/>
        <w:tblW w:w="8455" w:type="dxa"/>
        <w:tblInd w:w="720" w:type="dxa"/>
        <w:tblLook w:val="04A0" w:firstRow="1" w:lastRow="0" w:firstColumn="1" w:lastColumn="0" w:noHBand="0" w:noVBand="1"/>
      </w:tblPr>
      <w:tblGrid>
        <w:gridCol w:w="2245"/>
        <w:gridCol w:w="6210"/>
      </w:tblGrid>
      <w:tr w:rsidR="00AA1168" w:rsidRPr="002E196B" w14:paraId="738C767E" w14:textId="77777777" w:rsidTr="007905C1">
        <w:trPr>
          <w:trHeight w:val="20"/>
        </w:trPr>
        <w:tc>
          <w:tcPr>
            <w:tcW w:w="2245" w:type="dxa"/>
          </w:tcPr>
          <w:p w14:paraId="11D852EE" w14:textId="77777777" w:rsidR="00AA1168" w:rsidRPr="002E196B" w:rsidRDefault="00AA1168" w:rsidP="00552D30">
            <w:pPr>
              <w:pStyle w:val="ListParagraph"/>
              <w:ind w:left="0"/>
              <w:jc w:val="center"/>
              <w:rPr>
                <w:b/>
                <w:bCs/>
              </w:rPr>
            </w:pPr>
          </w:p>
        </w:tc>
        <w:tc>
          <w:tcPr>
            <w:tcW w:w="6210" w:type="dxa"/>
          </w:tcPr>
          <w:p w14:paraId="12376E3B" w14:textId="77777777" w:rsidR="00AA1168" w:rsidRPr="002E196B" w:rsidRDefault="00AA1168" w:rsidP="007905C1">
            <w:pPr>
              <w:pStyle w:val="ListParagraph"/>
              <w:ind w:left="0"/>
              <w:rPr>
                <w:b/>
                <w:bCs/>
              </w:rPr>
            </w:pPr>
            <w:r w:rsidRPr="002E196B">
              <w:rPr>
                <w:b/>
                <w:bCs/>
              </w:rPr>
              <w:t>NGSO</w:t>
            </w:r>
          </w:p>
        </w:tc>
      </w:tr>
      <w:tr w:rsidR="00AA1168" w:rsidRPr="002E196B" w14:paraId="0342DD7D" w14:textId="77777777" w:rsidTr="007905C1">
        <w:trPr>
          <w:trHeight w:val="20"/>
        </w:trPr>
        <w:tc>
          <w:tcPr>
            <w:tcW w:w="2245" w:type="dxa"/>
          </w:tcPr>
          <w:p w14:paraId="24ED4A17" w14:textId="77777777" w:rsidR="00AA1168" w:rsidRPr="002E196B" w:rsidRDefault="00AA1168" w:rsidP="00552D30">
            <w:pPr>
              <w:jc w:val="center"/>
              <w:rPr>
                <w:b/>
                <w:bCs/>
              </w:rPr>
            </w:pPr>
            <w:proofErr w:type="spellStart"/>
            <w:r w:rsidRPr="002E196B">
              <w:rPr>
                <w:b/>
                <w:bCs/>
              </w:rPr>
              <w:t>EIRP</w:t>
            </w:r>
            <w:r w:rsidRPr="002E196B">
              <w:rPr>
                <w:b/>
                <w:bCs/>
                <w:vertAlign w:val="subscript"/>
              </w:rPr>
              <w:t>horizon</w:t>
            </w:r>
            <w:proofErr w:type="spellEnd"/>
            <w:r w:rsidRPr="002E196B">
              <w:rPr>
                <w:b/>
                <w:bCs/>
              </w:rPr>
              <w:t>[</w:t>
            </w:r>
            <w:proofErr w:type="spellStart"/>
            <w:r w:rsidRPr="002E196B">
              <w:rPr>
                <w:b/>
                <w:bCs/>
              </w:rPr>
              <w:t>dBW</w:t>
            </w:r>
            <w:proofErr w:type="spellEnd"/>
            <w:r w:rsidRPr="002E196B">
              <w:rPr>
                <w:b/>
                <w:bCs/>
              </w:rPr>
              <w:t>]</w:t>
            </w:r>
          </w:p>
        </w:tc>
        <w:tc>
          <w:tcPr>
            <w:tcW w:w="6210" w:type="dxa"/>
          </w:tcPr>
          <w:p w14:paraId="77FEC119" w14:textId="2576C712" w:rsidR="00AA1168" w:rsidRPr="002E196B" w:rsidRDefault="00AA1168" w:rsidP="007905C1">
            <w:pPr>
              <w:rPr>
                <w:b/>
                <w:bCs/>
              </w:rPr>
            </w:pPr>
            <w:r w:rsidRPr="002E196B">
              <w:rPr>
                <w:b/>
                <w:bCs/>
              </w:rPr>
              <w:t>-7.6</w:t>
            </w:r>
          </w:p>
        </w:tc>
      </w:tr>
    </w:tbl>
    <w:p w14:paraId="3737AC33" w14:textId="77777777" w:rsidR="0008379C" w:rsidRPr="002E196B" w:rsidRDefault="0008379C" w:rsidP="00552D30"/>
    <w:p w14:paraId="6DD5E550" w14:textId="77777777" w:rsidR="000F0159" w:rsidRPr="002E196B" w:rsidRDefault="000F0159" w:rsidP="00552D30">
      <w:r w:rsidRPr="002E196B">
        <w:t>We now calculate these:</w:t>
      </w:r>
    </w:p>
    <w:p w14:paraId="41CB152A" w14:textId="77777777" w:rsidR="000F0159" w:rsidRPr="002E196B" w:rsidRDefault="000F0159" w:rsidP="00552D30">
      <w:pPr>
        <w:pStyle w:val="ListParagraph"/>
        <w:ind w:left="360"/>
        <w:rPr>
          <w:b/>
          <w:bCs/>
        </w:rPr>
      </w:pPr>
    </w:p>
    <w:p w14:paraId="26F7C3B3" w14:textId="77777777" w:rsidR="0098199F" w:rsidRPr="002E196B" w:rsidRDefault="0098199F" w:rsidP="00425190">
      <w:pPr>
        <w:pStyle w:val="ListParagraph"/>
        <w:numPr>
          <w:ilvl w:val="0"/>
          <w:numId w:val="7"/>
        </w:numPr>
      </w:pPr>
      <w:r w:rsidRPr="002E196B">
        <w:t xml:space="preserve">The </w:t>
      </w:r>
      <w:r w:rsidRPr="002E196B">
        <w:rPr>
          <w:b/>
          <w:bCs/>
        </w:rPr>
        <w:t xml:space="preserve">off-axis antenna gain </w:t>
      </w:r>
      <w:proofErr w:type="gramStart"/>
      <w:r w:rsidRPr="002E196B">
        <w:rPr>
          <w:b/>
          <w:bCs/>
        </w:rPr>
        <w:t>G(</w:t>
      </w:r>
      <w:proofErr w:type="gramEnd"/>
      <w:r w:rsidRPr="002E196B">
        <w:rPr>
          <w:rFonts w:ascii="Symbol" w:hAnsi="Symbol"/>
          <w:b/>
          <w:bCs/>
        </w:rPr>
        <w:t></w:t>
      </w:r>
      <w:r w:rsidRPr="002E196B">
        <w:rPr>
          <w:b/>
          <w:bCs/>
        </w:rPr>
        <w:t>) at the horizon</w:t>
      </w:r>
    </w:p>
    <w:p w14:paraId="0A1B82E5" w14:textId="77777777" w:rsidR="0098199F" w:rsidRPr="002E196B" w:rsidRDefault="0098199F" w:rsidP="00552D30">
      <w:pPr>
        <w:pStyle w:val="ListParagraph"/>
        <w:ind w:left="1800"/>
      </w:pPr>
    </w:p>
    <w:p w14:paraId="5C794F00" w14:textId="6652044D" w:rsidR="0098199F" w:rsidRPr="002E196B" w:rsidRDefault="0098199F" w:rsidP="007905C1">
      <w:pPr>
        <w:ind w:left="720"/>
        <w:jc w:val="both"/>
      </w:pPr>
      <w:r w:rsidRPr="002E196B">
        <w:t xml:space="preserve">Hence the off-axis gain </w:t>
      </w:r>
      <w:proofErr w:type="gramStart"/>
      <w:r w:rsidRPr="002E196B">
        <w:t>G(</w:t>
      </w:r>
      <w:proofErr w:type="gramEnd"/>
      <w:r w:rsidRPr="002E196B">
        <w:rPr>
          <w:rFonts w:ascii="Symbol" w:hAnsi="Symbol"/>
        </w:rPr>
        <w:t></w:t>
      </w:r>
      <w:r w:rsidRPr="002E196B">
        <w:t>) at the horizon</w:t>
      </w:r>
      <w:r w:rsidR="000F0159" w:rsidRPr="002E196B">
        <w:t xml:space="preserve"> is calculated </w:t>
      </w:r>
      <w:r w:rsidR="009A63D8" w:rsidRPr="002E196B">
        <w:t xml:space="preserve">in this </w:t>
      </w:r>
      <w:r w:rsidR="000F0159" w:rsidRPr="002E196B">
        <w:t>case</w:t>
      </w:r>
      <w:r w:rsidRPr="002E196B">
        <w:t xml:space="preserve"> when the boresight is at the minimum elevation angle</w:t>
      </w:r>
      <w:r w:rsidR="000F0159" w:rsidRPr="002E196B">
        <w:t xml:space="preserve">, i.e., </w:t>
      </w:r>
      <w:r w:rsidRPr="002E196B">
        <w:rPr>
          <w:rFonts w:ascii="Symbol" w:hAnsi="Symbol"/>
        </w:rPr>
        <w:t></w:t>
      </w:r>
      <w:r w:rsidR="000F0159" w:rsidRPr="002E196B">
        <w:rPr>
          <w:rFonts w:ascii="Symbol" w:hAnsi="Symbol"/>
        </w:rPr>
        <w:t></w:t>
      </w:r>
      <w:r w:rsidR="000F0159" w:rsidRPr="002E196B">
        <w:rPr>
          <w:rFonts w:ascii="Symbol" w:hAnsi="Symbol"/>
        </w:rPr>
        <w:t></w:t>
      </w:r>
      <w:r w:rsidRPr="002E196B">
        <w:rPr>
          <w:vertAlign w:val="subscript"/>
        </w:rPr>
        <w:t>min</w:t>
      </w:r>
      <w:r w:rsidR="000F0159" w:rsidRPr="002E196B">
        <w:t xml:space="preserve">. Here then the off-axis gain is equal to </w:t>
      </w:r>
      <w:proofErr w:type="gramStart"/>
      <w:r w:rsidRPr="002E196B">
        <w:t>G(</w:t>
      </w:r>
      <w:proofErr w:type="gramEnd"/>
      <w:r w:rsidRPr="002E196B">
        <w:rPr>
          <w:rFonts w:ascii="Symbol" w:hAnsi="Symbol"/>
        </w:rPr>
        <w:t></w:t>
      </w:r>
      <w:r w:rsidRPr="002E196B">
        <w:t>) = G(</w:t>
      </w:r>
      <w:r w:rsidR="000F0159" w:rsidRPr="002E196B">
        <w:rPr>
          <w:rFonts w:ascii="Symbol" w:hAnsi="Symbol"/>
        </w:rPr>
        <w:t></w:t>
      </w:r>
      <w:r w:rsidR="000F0159" w:rsidRPr="002E196B">
        <w:rPr>
          <w:rFonts w:ascii="Symbol" w:hAnsi="Symbol"/>
        </w:rPr>
        <w:t></w:t>
      </w:r>
      <w:r w:rsidR="000F0159" w:rsidRPr="002E196B">
        <w:rPr>
          <w:rFonts w:ascii="Symbol" w:hAnsi="Symbol"/>
        </w:rPr>
        <w:t></w:t>
      </w:r>
      <w:r w:rsidRPr="002E196B">
        <w:rPr>
          <w:vertAlign w:val="subscript"/>
        </w:rPr>
        <w:t>min</w:t>
      </w:r>
      <w:r w:rsidRPr="002E196B">
        <w:t>)</w:t>
      </w:r>
      <w:r w:rsidR="00830AFC" w:rsidRPr="002E196B">
        <w:t>.</w:t>
      </w:r>
    </w:p>
    <w:p w14:paraId="34D89B9A" w14:textId="77777777" w:rsidR="00830AFC" w:rsidRPr="002E196B" w:rsidRDefault="00830AFC" w:rsidP="007905C1">
      <w:pPr>
        <w:ind w:left="720"/>
        <w:jc w:val="both"/>
      </w:pPr>
    </w:p>
    <w:p w14:paraId="3F5EABE5" w14:textId="4FF9E851" w:rsidR="0098199F" w:rsidRPr="002E196B" w:rsidRDefault="00830AFC" w:rsidP="007905C1">
      <w:pPr>
        <w:ind w:left="720"/>
        <w:jc w:val="both"/>
        <w:rPr>
          <w:b/>
          <w:bCs/>
        </w:rPr>
      </w:pPr>
      <w:r w:rsidRPr="002E196B">
        <w:t>NGSO case</w:t>
      </w:r>
      <w:r w:rsidR="00BD5018" w:rsidRPr="002E196B">
        <w:t>:</w:t>
      </w:r>
      <w:r w:rsidR="00BD5018" w:rsidRPr="002E196B">
        <w:rPr>
          <w:b/>
          <w:bCs/>
        </w:rPr>
        <w:t xml:space="preserve"> </w:t>
      </w:r>
      <w:r w:rsidR="0098199F" w:rsidRPr="002E196B">
        <w:t xml:space="preserve">NGSO systems cannot operate down at </w:t>
      </w:r>
      <w:r w:rsidR="007905C1" w:rsidRPr="002E196B">
        <w:t>5-degree</w:t>
      </w:r>
      <w:r w:rsidR="0098199F" w:rsidRPr="002E196B">
        <w:t xml:space="preserve"> elevation because the difference in spreading loss is quite large. Thus</w:t>
      </w:r>
      <w:r w:rsidR="00BD5018" w:rsidRPr="002E196B">
        <w:t>,</w:t>
      </w:r>
      <w:r w:rsidR="0098199F" w:rsidRPr="002E196B">
        <w:t xml:space="preserve"> they operate down to a </w:t>
      </w:r>
      <w:r w:rsidR="00BD5018" w:rsidRPr="002E196B">
        <w:t xml:space="preserve">higher </w:t>
      </w:r>
      <w:r w:rsidR="0098199F" w:rsidRPr="002E196B">
        <w:t>minimum elevation. We have assumed here the minimum elevation of one of the constellations which operates down to about 35 degrees minimum.</w:t>
      </w:r>
    </w:p>
    <w:p w14:paraId="2DF546A9" w14:textId="77777777" w:rsidR="0098199F" w:rsidRPr="002E196B" w:rsidRDefault="0098199F" w:rsidP="00552D30">
      <w:pPr>
        <w:ind w:left="1800"/>
      </w:pPr>
    </w:p>
    <w:p w14:paraId="35A48C66" w14:textId="77777777" w:rsidR="0098199F" w:rsidRPr="002E196B" w:rsidRDefault="0098199F" w:rsidP="00552D30">
      <w:pPr>
        <w:ind w:firstLine="720"/>
      </w:pPr>
      <w:r w:rsidRPr="002E196B">
        <w:t>Hence, we calculate the G(</w:t>
      </w:r>
      <w:r w:rsidRPr="002E196B">
        <w:rPr>
          <w:rFonts w:ascii="Symbol" w:hAnsi="Symbol"/>
        </w:rPr>
        <w:t></w:t>
      </w:r>
      <w:r w:rsidRPr="002E196B">
        <w:rPr>
          <w:vertAlign w:val="subscript"/>
        </w:rPr>
        <w:t>min</w:t>
      </w:r>
      <w:r w:rsidRPr="002E196B">
        <w:t>) as:</w:t>
      </w:r>
    </w:p>
    <w:p w14:paraId="04AAF814" w14:textId="77777777" w:rsidR="0098199F" w:rsidRPr="002E196B" w:rsidRDefault="0098199F" w:rsidP="00552D30">
      <w:pPr>
        <w:ind w:left="1800"/>
      </w:pPr>
    </w:p>
    <w:tbl>
      <w:tblPr>
        <w:tblStyle w:val="TableGrid"/>
        <w:tblW w:w="0" w:type="auto"/>
        <w:tblInd w:w="720" w:type="dxa"/>
        <w:tblLook w:val="04A0" w:firstRow="1" w:lastRow="0" w:firstColumn="1" w:lastColumn="0" w:noHBand="0" w:noVBand="1"/>
      </w:tblPr>
      <w:tblGrid>
        <w:gridCol w:w="2245"/>
        <w:gridCol w:w="6198"/>
      </w:tblGrid>
      <w:tr w:rsidR="00234BB5" w:rsidRPr="002E196B" w14:paraId="2B459B9F" w14:textId="7070000D" w:rsidTr="00234BB5">
        <w:tc>
          <w:tcPr>
            <w:tcW w:w="2245" w:type="dxa"/>
          </w:tcPr>
          <w:p w14:paraId="31191BA0" w14:textId="1B25A772" w:rsidR="00234BB5" w:rsidRPr="002E196B" w:rsidRDefault="00234BB5" w:rsidP="008F7765">
            <w:pPr>
              <w:pStyle w:val="ListParagraph"/>
              <w:ind w:left="0"/>
              <w:rPr>
                <w:b/>
                <w:bCs/>
              </w:rPr>
            </w:pPr>
          </w:p>
        </w:tc>
        <w:tc>
          <w:tcPr>
            <w:tcW w:w="6198" w:type="dxa"/>
          </w:tcPr>
          <w:p w14:paraId="13BEF34D" w14:textId="35D765EC" w:rsidR="00234BB5" w:rsidRPr="002E196B" w:rsidRDefault="00234BB5" w:rsidP="008F7765">
            <w:pPr>
              <w:pStyle w:val="ListParagraph"/>
              <w:ind w:left="0"/>
              <w:rPr>
                <w:b/>
                <w:bCs/>
              </w:rPr>
            </w:pPr>
            <w:r w:rsidRPr="002E196B">
              <w:rPr>
                <w:b/>
                <w:bCs/>
              </w:rPr>
              <w:t>NGSO</w:t>
            </w:r>
          </w:p>
        </w:tc>
      </w:tr>
      <w:tr w:rsidR="00234BB5" w:rsidRPr="002E196B" w14:paraId="54435A95" w14:textId="4C85B33E" w:rsidTr="00234BB5">
        <w:tc>
          <w:tcPr>
            <w:tcW w:w="2245" w:type="dxa"/>
          </w:tcPr>
          <w:p w14:paraId="6B265285" w14:textId="36454E45" w:rsidR="00234BB5" w:rsidRPr="002E196B" w:rsidRDefault="00234BB5" w:rsidP="00234BB5">
            <w:r w:rsidRPr="002E196B">
              <w:rPr>
                <w:b/>
                <w:bCs/>
                <w:lang w:val="fr-FR"/>
              </w:rPr>
              <w:t>G(</w:t>
            </w:r>
            <w:r w:rsidRPr="002E196B">
              <w:rPr>
                <w:rFonts w:ascii="Symbol" w:hAnsi="Symbol"/>
                <w:b/>
                <w:bCs/>
              </w:rPr>
              <w:t></w:t>
            </w:r>
            <w:r w:rsidRPr="002E196B">
              <w:rPr>
                <w:b/>
                <w:bCs/>
                <w:vertAlign w:val="subscript"/>
                <w:lang w:val="fr-FR"/>
              </w:rPr>
              <w:t>min</w:t>
            </w:r>
            <w:r w:rsidRPr="002E196B">
              <w:rPr>
                <w:b/>
                <w:bCs/>
                <w:lang w:val="fr-FR"/>
              </w:rPr>
              <w:t xml:space="preserve">=35) </w:t>
            </w:r>
          </w:p>
          <w:p w14:paraId="718D4956" w14:textId="4D484EE4" w:rsidR="00234BB5" w:rsidRPr="002E196B" w:rsidRDefault="00234BB5" w:rsidP="008F7765"/>
        </w:tc>
        <w:tc>
          <w:tcPr>
            <w:tcW w:w="6198" w:type="dxa"/>
          </w:tcPr>
          <w:p w14:paraId="1BD87AFF" w14:textId="77777777" w:rsidR="00234BB5" w:rsidRPr="002E196B" w:rsidRDefault="00234BB5" w:rsidP="00234BB5">
            <w:pPr>
              <w:rPr>
                <w:b/>
                <w:bCs/>
                <w:lang w:val="en-GB"/>
              </w:rPr>
            </w:pPr>
            <w:r w:rsidRPr="002E196B">
              <w:rPr>
                <w:b/>
                <w:bCs/>
                <w:lang w:val="en-GB"/>
              </w:rPr>
              <w:t xml:space="preserve">= 32 – 25 </w:t>
            </w:r>
            <w:proofErr w:type="gramStart"/>
            <w:r w:rsidRPr="002E196B">
              <w:rPr>
                <w:b/>
                <w:bCs/>
                <w:lang w:val="en-GB"/>
              </w:rPr>
              <w:t>log</w:t>
            </w:r>
            <w:proofErr w:type="gramEnd"/>
            <w:r w:rsidRPr="002E196B">
              <w:rPr>
                <w:b/>
                <w:bCs/>
                <w:lang w:val="en-GB"/>
              </w:rPr>
              <w:t>(</w:t>
            </w:r>
            <w:r w:rsidRPr="002E196B">
              <w:rPr>
                <w:rFonts w:ascii="Symbol" w:hAnsi="Symbol"/>
                <w:b/>
                <w:bCs/>
              </w:rPr>
              <w:t></w:t>
            </w:r>
            <w:r w:rsidRPr="002E196B">
              <w:rPr>
                <w:b/>
                <w:bCs/>
                <w:vertAlign w:val="subscript"/>
                <w:lang w:val="en-GB"/>
              </w:rPr>
              <w:t>min</w:t>
            </w:r>
            <w:r w:rsidRPr="002E196B">
              <w:rPr>
                <w:b/>
                <w:bCs/>
                <w:lang w:val="en-GB"/>
              </w:rPr>
              <w:t xml:space="preserve">=35 </w:t>
            </w:r>
            <w:proofErr w:type="spellStart"/>
            <w:r w:rsidRPr="002E196B">
              <w:rPr>
                <w:b/>
                <w:bCs/>
                <w:lang w:val="en-GB"/>
              </w:rPr>
              <w:t>deg</w:t>
            </w:r>
            <w:proofErr w:type="spellEnd"/>
            <w:r w:rsidRPr="002E196B">
              <w:rPr>
                <w:b/>
                <w:bCs/>
                <w:lang w:val="en-GB"/>
              </w:rPr>
              <w:t>)</w:t>
            </w:r>
          </w:p>
          <w:p w14:paraId="403A3208" w14:textId="5AF33884" w:rsidR="00234BB5" w:rsidRPr="002E196B" w:rsidRDefault="00234BB5" w:rsidP="00234BB5">
            <w:pPr>
              <w:rPr>
                <w:b/>
                <w:bCs/>
                <w:lang w:val="en-GB"/>
              </w:rPr>
            </w:pPr>
            <w:r w:rsidRPr="002E196B">
              <w:t>(noting from the graph below we are at a different slope)</w:t>
            </w:r>
          </w:p>
        </w:tc>
      </w:tr>
      <w:tr w:rsidR="00234BB5" w:rsidRPr="002E196B" w14:paraId="0D74341A" w14:textId="485F9E76" w:rsidTr="00234BB5">
        <w:tc>
          <w:tcPr>
            <w:tcW w:w="2245" w:type="dxa"/>
          </w:tcPr>
          <w:p w14:paraId="390EF25A" w14:textId="21DFB7B9" w:rsidR="00234BB5" w:rsidRPr="002E196B" w:rsidRDefault="00234BB5" w:rsidP="008F7765">
            <w:r w:rsidRPr="002E196B">
              <w:rPr>
                <w:b/>
                <w:bCs/>
              </w:rPr>
              <w:t>G(</w:t>
            </w:r>
            <w:r w:rsidRPr="002E196B">
              <w:rPr>
                <w:rFonts w:ascii="Symbol" w:hAnsi="Symbol"/>
                <w:b/>
                <w:bCs/>
              </w:rPr>
              <w:t></w:t>
            </w:r>
            <w:r w:rsidRPr="002E196B">
              <w:rPr>
                <w:b/>
                <w:bCs/>
                <w:vertAlign w:val="subscript"/>
              </w:rPr>
              <w:t>min</w:t>
            </w:r>
            <w:r w:rsidRPr="002E196B">
              <w:rPr>
                <w:b/>
                <w:bCs/>
              </w:rPr>
              <w:t xml:space="preserve">) </w:t>
            </w:r>
          </w:p>
        </w:tc>
        <w:tc>
          <w:tcPr>
            <w:tcW w:w="6198" w:type="dxa"/>
          </w:tcPr>
          <w:p w14:paraId="174F0078" w14:textId="1E9809DA" w:rsidR="00234BB5" w:rsidRPr="002E196B" w:rsidRDefault="00234BB5" w:rsidP="008F7765">
            <w:pPr>
              <w:rPr>
                <w:b/>
                <w:bCs/>
              </w:rPr>
            </w:pPr>
            <w:r w:rsidRPr="002E196B">
              <w:rPr>
                <w:b/>
                <w:bCs/>
              </w:rPr>
              <w:t xml:space="preserve">= -6.6 </w:t>
            </w:r>
            <w:proofErr w:type="spellStart"/>
            <w:r w:rsidRPr="002E196B">
              <w:rPr>
                <w:b/>
                <w:bCs/>
              </w:rPr>
              <w:t>dBi</w:t>
            </w:r>
            <w:proofErr w:type="spellEnd"/>
          </w:p>
        </w:tc>
      </w:tr>
    </w:tbl>
    <w:p w14:paraId="3DFF6EE9" w14:textId="340E96F8" w:rsidR="00531260" w:rsidRPr="002E196B" w:rsidRDefault="00531260" w:rsidP="00552D30"/>
    <w:p w14:paraId="0B4EB398" w14:textId="77777777" w:rsidR="0098199F" w:rsidRPr="002E196B" w:rsidRDefault="0098199F" w:rsidP="00425190">
      <w:pPr>
        <w:pStyle w:val="ListParagraph"/>
        <w:numPr>
          <w:ilvl w:val="0"/>
          <w:numId w:val="7"/>
        </w:numPr>
      </w:pPr>
      <w:r w:rsidRPr="002E196B">
        <w:rPr>
          <w:b/>
          <w:bCs/>
        </w:rPr>
        <w:t xml:space="preserve">EIRP toward the horizon </w:t>
      </w:r>
      <w:r w:rsidRPr="002E196B">
        <w:t>(</w:t>
      </w:r>
      <w:proofErr w:type="spellStart"/>
      <w:r w:rsidRPr="002E196B">
        <w:t>EIRP</w:t>
      </w:r>
      <w:r w:rsidRPr="002E196B">
        <w:rPr>
          <w:vertAlign w:val="subscript"/>
        </w:rPr>
        <w:t>horizon</w:t>
      </w:r>
      <w:proofErr w:type="spellEnd"/>
      <w:r w:rsidRPr="002E196B">
        <w:t>):</w:t>
      </w:r>
    </w:p>
    <w:p w14:paraId="654C849D" w14:textId="77777777" w:rsidR="0098199F" w:rsidRPr="002E196B" w:rsidRDefault="0098199F" w:rsidP="00552D30">
      <w:pPr>
        <w:ind w:left="1134"/>
      </w:pPr>
      <w:r w:rsidRPr="002E196B">
        <w:tab/>
      </w:r>
    </w:p>
    <w:p w14:paraId="4388764B" w14:textId="783E9123" w:rsidR="0098199F" w:rsidRPr="002E196B" w:rsidRDefault="0098199F" w:rsidP="00552D30">
      <w:pPr>
        <w:ind w:left="1134"/>
      </w:pPr>
      <w:proofErr w:type="spellStart"/>
      <w:r w:rsidRPr="002E196B">
        <w:t>EIRP</w:t>
      </w:r>
      <w:r w:rsidRPr="002E196B">
        <w:rPr>
          <w:vertAlign w:val="subscript"/>
        </w:rPr>
        <w:t>horizon</w:t>
      </w:r>
      <w:proofErr w:type="spellEnd"/>
      <w:r w:rsidRPr="002E196B">
        <w:t xml:space="preserve"> = EIRP – </w:t>
      </w:r>
      <w:proofErr w:type="spellStart"/>
      <w:r w:rsidRPr="002E196B">
        <w:t>Gpeak</w:t>
      </w:r>
      <w:proofErr w:type="spellEnd"/>
      <w:r w:rsidRPr="002E196B">
        <w:t xml:space="preserve"> + </w:t>
      </w:r>
      <w:proofErr w:type="gramStart"/>
      <w:r w:rsidRPr="002E196B">
        <w:t>G(</w:t>
      </w:r>
      <w:proofErr w:type="gramEnd"/>
      <w:r w:rsidRPr="002E196B">
        <w:t>min Elevation)</w:t>
      </w:r>
    </w:p>
    <w:p w14:paraId="652EED5E" w14:textId="77777777" w:rsidR="0098199F" w:rsidRPr="002E196B" w:rsidRDefault="0098199F" w:rsidP="00552D30">
      <w:pPr>
        <w:ind w:left="1134"/>
      </w:pPr>
    </w:p>
    <w:p w14:paraId="54550BFC" w14:textId="289A9C62" w:rsidR="0098199F" w:rsidRPr="002E196B" w:rsidRDefault="0098199F" w:rsidP="00234BB5">
      <w:pPr>
        <w:ind w:left="720"/>
      </w:pPr>
      <w:r w:rsidRPr="002E196B">
        <w:t>Where</w:t>
      </w:r>
      <w:r w:rsidR="00230B04" w:rsidRPr="002E196B">
        <w:t xml:space="preserve">, </w:t>
      </w:r>
      <w:r w:rsidRPr="002E196B">
        <w:t xml:space="preserve">G is the antenna gain pattern, and </w:t>
      </w:r>
      <w:r w:rsidRPr="002E196B">
        <w:rPr>
          <w:rFonts w:ascii="Symbol" w:hAnsi="Symbol"/>
        </w:rPr>
        <w:t></w:t>
      </w:r>
      <w:r w:rsidRPr="002E196B">
        <w:t xml:space="preserve"> is the off-axis angle between the antenna boresight and the horizon.</w:t>
      </w:r>
    </w:p>
    <w:p w14:paraId="5DB99E68" w14:textId="77777777" w:rsidR="0098199F" w:rsidRPr="002E196B" w:rsidRDefault="0098199F" w:rsidP="00552D30">
      <w:pPr>
        <w:ind w:left="1134"/>
      </w:pPr>
    </w:p>
    <w:tbl>
      <w:tblPr>
        <w:tblStyle w:val="TableGrid"/>
        <w:tblW w:w="0" w:type="auto"/>
        <w:tblInd w:w="720" w:type="dxa"/>
        <w:tblLook w:val="04A0" w:firstRow="1" w:lastRow="0" w:firstColumn="1" w:lastColumn="0" w:noHBand="0" w:noVBand="1"/>
      </w:tblPr>
      <w:tblGrid>
        <w:gridCol w:w="2245"/>
        <w:gridCol w:w="6198"/>
      </w:tblGrid>
      <w:tr w:rsidR="00234BB5" w:rsidRPr="002E196B" w14:paraId="0FA01703" w14:textId="7EB145B1" w:rsidTr="00234BB5">
        <w:tc>
          <w:tcPr>
            <w:tcW w:w="2245" w:type="dxa"/>
          </w:tcPr>
          <w:p w14:paraId="334F98A7" w14:textId="3902F6E1" w:rsidR="00234BB5" w:rsidRPr="002E196B" w:rsidRDefault="00234BB5" w:rsidP="00531260">
            <w:pPr>
              <w:pStyle w:val="ListParagraph"/>
              <w:ind w:left="0"/>
              <w:rPr>
                <w:b/>
                <w:bCs/>
              </w:rPr>
            </w:pPr>
          </w:p>
        </w:tc>
        <w:tc>
          <w:tcPr>
            <w:tcW w:w="6198" w:type="dxa"/>
          </w:tcPr>
          <w:p w14:paraId="71CBA284" w14:textId="3497A789" w:rsidR="00234BB5" w:rsidRPr="002E196B" w:rsidRDefault="00234BB5" w:rsidP="00531260">
            <w:pPr>
              <w:pStyle w:val="ListParagraph"/>
              <w:ind w:left="0"/>
              <w:rPr>
                <w:b/>
                <w:bCs/>
              </w:rPr>
            </w:pPr>
            <w:r w:rsidRPr="002E196B">
              <w:rPr>
                <w:b/>
                <w:bCs/>
              </w:rPr>
              <w:t>NGSO</w:t>
            </w:r>
          </w:p>
        </w:tc>
      </w:tr>
      <w:tr w:rsidR="00234BB5" w:rsidRPr="002E196B" w14:paraId="3F589278" w14:textId="4A38BA94" w:rsidTr="00234BB5">
        <w:tc>
          <w:tcPr>
            <w:tcW w:w="2245" w:type="dxa"/>
          </w:tcPr>
          <w:p w14:paraId="788271E7" w14:textId="4B4C5896" w:rsidR="00234BB5" w:rsidRPr="002E196B" w:rsidRDefault="00234BB5" w:rsidP="00531260">
            <w:proofErr w:type="spellStart"/>
            <w:r w:rsidRPr="002E196B">
              <w:t>EIRP</w:t>
            </w:r>
            <w:r w:rsidRPr="002E196B">
              <w:rPr>
                <w:vertAlign w:val="subscript"/>
              </w:rPr>
              <w:t>horizon</w:t>
            </w:r>
            <w:proofErr w:type="spellEnd"/>
            <w:r w:rsidRPr="002E196B">
              <w:t xml:space="preserve"> </w:t>
            </w:r>
          </w:p>
        </w:tc>
        <w:tc>
          <w:tcPr>
            <w:tcW w:w="6198" w:type="dxa"/>
          </w:tcPr>
          <w:p w14:paraId="7D5A9B8D" w14:textId="0D256AB3" w:rsidR="00234BB5" w:rsidRPr="002E196B" w:rsidRDefault="00234BB5" w:rsidP="00531260">
            <w:r w:rsidRPr="002E196B">
              <w:t xml:space="preserve">= EIRP – </w:t>
            </w:r>
            <w:proofErr w:type="spellStart"/>
            <w:r w:rsidRPr="002E196B">
              <w:t>Gpeak</w:t>
            </w:r>
            <w:proofErr w:type="spellEnd"/>
            <w:r w:rsidRPr="002E196B">
              <w:t xml:space="preserve"> + G(</w:t>
            </w:r>
            <w:r w:rsidRPr="002E196B">
              <w:rPr>
                <w:rFonts w:ascii="Symbol" w:hAnsi="Symbol"/>
                <w:b/>
                <w:bCs/>
              </w:rPr>
              <w:t></w:t>
            </w:r>
            <w:r w:rsidRPr="002E196B">
              <w:rPr>
                <w:b/>
                <w:bCs/>
                <w:vertAlign w:val="subscript"/>
              </w:rPr>
              <w:t>min</w:t>
            </w:r>
            <w:r w:rsidRPr="002E196B">
              <w:t>)</w:t>
            </w:r>
          </w:p>
        </w:tc>
      </w:tr>
      <w:tr w:rsidR="00234BB5" w:rsidRPr="002E196B" w14:paraId="26DC188D" w14:textId="457478E6" w:rsidTr="00234BB5">
        <w:tc>
          <w:tcPr>
            <w:tcW w:w="2245" w:type="dxa"/>
          </w:tcPr>
          <w:p w14:paraId="7DD9C80A" w14:textId="4AEF46C9" w:rsidR="00234BB5" w:rsidRPr="002E196B" w:rsidRDefault="00234BB5" w:rsidP="00234BB5">
            <w:proofErr w:type="spellStart"/>
            <w:r w:rsidRPr="002E196B">
              <w:t>EIRP</w:t>
            </w:r>
            <w:r w:rsidRPr="002E196B">
              <w:rPr>
                <w:vertAlign w:val="subscript"/>
              </w:rPr>
              <w:t>horizon</w:t>
            </w:r>
            <w:proofErr w:type="spellEnd"/>
          </w:p>
        </w:tc>
        <w:tc>
          <w:tcPr>
            <w:tcW w:w="6198" w:type="dxa"/>
          </w:tcPr>
          <w:p w14:paraId="206B214E" w14:textId="77777777" w:rsidR="00234BB5" w:rsidRPr="002E196B" w:rsidRDefault="00234BB5" w:rsidP="00234BB5">
            <w:r w:rsidRPr="002E196B">
              <w:t>= 35.8 – 36.8 – 6.6</w:t>
            </w:r>
          </w:p>
          <w:p w14:paraId="204EF2FD" w14:textId="1E33A9BC" w:rsidR="00234BB5" w:rsidRPr="002E196B" w:rsidRDefault="00234BB5" w:rsidP="00234BB5">
            <w:r w:rsidRPr="002E196B">
              <w:t>= -7.6 [</w:t>
            </w:r>
            <w:proofErr w:type="spellStart"/>
            <w:r w:rsidRPr="002E196B">
              <w:t>dBW</w:t>
            </w:r>
            <w:proofErr w:type="spellEnd"/>
            <w:r w:rsidRPr="002E196B">
              <w:t>]</w:t>
            </w:r>
          </w:p>
        </w:tc>
      </w:tr>
    </w:tbl>
    <w:p w14:paraId="55E16FCD" w14:textId="08E87B03" w:rsidR="008D43B3" w:rsidRPr="002E196B" w:rsidRDefault="00DD4804" w:rsidP="00DD4804">
      <w:pPr>
        <w:rPr>
          <w:b/>
          <w:bCs/>
        </w:rPr>
      </w:pPr>
      <w:r w:rsidRPr="002E196B">
        <w:rPr>
          <w:b/>
          <w:bCs/>
        </w:rPr>
        <w:lastRenderedPageBreak/>
        <w:t>3.4</w:t>
      </w:r>
      <w:r w:rsidRPr="002E196B">
        <w:rPr>
          <w:b/>
          <w:bCs/>
        </w:rPr>
        <w:tab/>
      </w:r>
      <w:r w:rsidR="008D43B3" w:rsidRPr="002E196B">
        <w:rPr>
          <w:b/>
          <w:bCs/>
        </w:rPr>
        <w:t>EIRP spectral density toward the horizon</w:t>
      </w:r>
    </w:p>
    <w:p w14:paraId="448AF02D" w14:textId="77777777" w:rsidR="008D43B3" w:rsidRPr="002E196B" w:rsidRDefault="008D43B3" w:rsidP="00552D30"/>
    <w:p w14:paraId="212CCCFC" w14:textId="3701FCE9" w:rsidR="008D43B3" w:rsidRPr="002E196B" w:rsidRDefault="008D43B3" w:rsidP="00230B04">
      <w:pPr>
        <w:jc w:val="both"/>
      </w:pPr>
      <w:r w:rsidRPr="002E196B">
        <w:t>This is equal to</w:t>
      </w:r>
      <w:r w:rsidR="0033539E" w:rsidRPr="002E196B">
        <w:t>:</w:t>
      </w:r>
      <w:r w:rsidR="002A0281" w:rsidRPr="002E196B">
        <w:t xml:space="preserve"> </w:t>
      </w:r>
      <w:proofErr w:type="spellStart"/>
      <w:proofErr w:type="gramStart"/>
      <w:r w:rsidRPr="002E196B">
        <w:t>EIRP</w:t>
      </w:r>
      <w:r w:rsidRPr="002E196B">
        <w:rPr>
          <w:vertAlign w:val="subscript"/>
        </w:rPr>
        <w:t>sd,horizon</w:t>
      </w:r>
      <w:proofErr w:type="spellEnd"/>
      <w:proofErr w:type="gramEnd"/>
      <w:r w:rsidRPr="002E196B">
        <w:t xml:space="preserve"> = </w:t>
      </w:r>
      <w:proofErr w:type="spellStart"/>
      <w:r w:rsidRPr="002E196B">
        <w:t>EIRP</w:t>
      </w:r>
      <w:r w:rsidRPr="002E196B">
        <w:rPr>
          <w:vertAlign w:val="subscript"/>
        </w:rPr>
        <w:t>horizon</w:t>
      </w:r>
      <w:proofErr w:type="spellEnd"/>
      <w:r w:rsidRPr="002E196B">
        <w:t xml:space="preserve"> – 10 Log (BW)</w:t>
      </w:r>
    </w:p>
    <w:p w14:paraId="4EC0A2D5" w14:textId="77777777" w:rsidR="008D43B3" w:rsidRPr="002E196B" w:rsidRDefault="008D43B3" w:rsidP="00552D30"/>
    <w:p w14:paraId="4F33A390" w14:textId="214CB4D8" w:rsidR="008D43B3" w:rsidRPr="002E196B" w:rsidRDefault="008D43B3" w:rsidP="00234BB5">
      <w:pPr>
        <w:ind w:left="720"/>
      </w:pPr>
      <w:r w:rsidRPr="002E196B">
        <w:t>Where</w:t>
      </w:r>
      <w:r w:rsidR="00614F79" w:rsidRPr="002E196B">
        <w:t>,</w:t>
      </w:r>
      <w:r w:rsidRPr="002E196B">
        <w:t xml:space="preserve"> BW is the bandwidth of the signal</w:t>
      </w:r>
      <w:r w:rsidR="0033539E" w:rsidRPr="002E196B">
        <w:t>.</w:t>
      </w:r>
    </w:p>
    <w:p w14:paraId="0B16B185" w14:textId="77777777" w:rsidR="008D43B3" w:rsidRPr="002E196B" w:rsidRDefault="008D43B3" w:rsidP="00552D30">
      <w:pPr>
        <w:ind w:left="1134"/>
      </w:pPr>
    </w:p>
    <w:p w14:paraId="00A4E581" w14:textId="77777777" w:rsidR="008D43B3" w:rsidRPr="002E196B" w:rsidRDefault="008D43B3" w:rsidP="00234BB5">
      <w:pPr>
        <w:jc w:val="both"/>
      </w:pPr>
      <w:r w:rsidRPr="002E196B">
        <w:t xml:space="preserve">When we calculate this with the values determine </w:t>
      </w:r>
      <w:proofErr w:type="gramStart"/>
      <w:r w:rsidR="0033539E" w:rsidRPr="002E196B">
        <w:t>above</w:t>
      </w:r>
      <w:proofErr w:type="gramEnd"/>
      <w:r w:rsidRPr="002E196B">
        <w:t xml:space="preserve"> we get:</w:t>
      </w:r>
    </w:p>
    <w:p w14:paraId="51054374" w14:textId="77777777" w:rsidR="008D43B3" w:rsidRPr="002E196B" w:rsidRDefault="008D43B3" w:rsidP="00552D30">
      <w:pPr>
        <w:ind w:left="1134"/>
      </w:pPr>
    </w:p>
    <w:tbl>
      <w:tblPr>
        <w:tblStyle w:val="TableGrid"/>
        <w:tblW w:w="0" w:type="auto"/>
        <w:tblInd w:w="720" w:type="dxa"/>
        <w:tblLook w:val="04A0" w:firstRow="1" w:lastRow="0" w:firstColumn="1" w:lastColumn="0" w:noHBand="0" w:noVBand="1"/>
      </w:tblPr>
      <w:tblGrid>
        <w:gridCol w:w="2245"/>
        <w:gridCol w:w="6198"/>
      </w:tblGrid>
      <w:tr w:rsidR="00234BB5" w:rsidRPr="002E196B" w14:paraId="15BE69E4" w14:textId="0AD6173A" w:rsidTr="00234BB5">
        <w:tc>
          <w:tcPr>
            <w:tcW w:w="2245" w:type="dxa"/>
          </w:tcPr>
          <w:p w14:paraId="704EAFE2" w14:textId="3B1F9055" w:rsidR="00234BB5" w:rsidRPr="002E196B" w:rsidRDefault="00234BB5" w:rsidP="00C10E41">
            <w:pPr>
              <w:pStyle w:val="ListParagraph"/>
              <w:ind w:left="0"/>
              <w:rPr>
                <w:b/>
                <w:bCs/>
              </w:rPr>
            </w:pPr>
          </w:p>
        </w:tc>
        <w:tc>
          <w:tcPr>
            <w:tcW w:w="6198" w:type="dxa"/>
          </w:tcPr>
          <w:p w14:paraId="5245C4DD" w14:textId="44F0E705" w:rsidR="00234BB5" w:rsidRPr="002E196B" w:rsidRDefault="00234BB5" w:rsidP="00C10E41">
            <w:pPr>
              <w:pStyle w:val="ListParagraph"/>
              <w:ind w:left="0"/>
              <w:rPr>
                <w:b/>
                <w:bCs/>
              </w:rPr>
            </w:pPr>
            <w:r w:rsidRPr="002E196B">
              <w:rPr>
                <w:b/>
                <w:bCs/>
              </w:rPr>
              <w:t>NGSO</w:t>
            </w:r>
          </w:p>
        </w:tc>
      </w:tr>
      <w:tr w:rsidR="00234BB5" w:rsidRPr="002E196B" w14:paraId="5CA9D199" w14:textId="49BD97BB" w:rsidTr="00234BB5">
        <w:tc>
          <w:tcPr>
            <w:tcW w:w="2245" w:type="dxa"/>
          </w:tcPr>
          <w:p w14:paraId="4BC19624" w14:textId="5585BC49" w:rsidR="00234BB5" w:rsidRPr="002E196B" w:rsidRDefault="00234BB5" w:rsidP="00C10E41">
            <w:proofErr w:type="spellStart"/>
            <w:proofErr w:type="gramStart"/>
            <w:r w:rsidRPr="002E196B">
              <w:t>EIRP</w:t>
            </w:r>
            <w:r w:rsidRPr="002E196B">
              <w:rPr>
                <w:vertAlign w:val="subscript"/>
              </w:rPr>
              <w:t>sd,horizon</w:t>
            </w:r>
            <w:proofErr w:type="spellEnd"/>
            <w:proofErr w:type="gramEnd"/>
            <w:r w:rsidRPr="002E196B">
              <w:t xml:space="preserve"> </w:t>
            </w:r>
          </w:p>
        </w:tc>
        <w:tc>
          <w:tcPr>
            <w:tcW w:w="6198" w:type="dxa"/>
          </w:tcPr>
          <w:p w14:paraId="0972BF32" w14:textId="6AC23995" w:rsidR="00234BB5" w:rsidRPr="002E196B" w:rsidRDefault="00234BB5" w:rsidP="00C10E41">
            <w:r w:rsidRPr="002E196B">
              <w:t xml:space="preserve">= </w:t>
            </w:r>
            <w:proofErr w:type="spellStart"/>
            <w:r w:rsidRPr="002E196B">
              <w:t>EIRP</w:t>
            </w:r>
            <w:r w:rsidRPr="002E196B">
              <w:rPr>
                <w:vertAlign w:val="subscript"/>
              </w:rPr>
              <w:t>horizon</w:t>
            </w:r>
            <w:proofErr w:type="spellEnd"/>
            <w:r w:rsidRPr="002E196B">
              <w:t xml:space="preserve"> – 10 Log (BW)</w:t>
            </w:r>
          </w:p>
        </w:tc>
      </w:tr>
      <w:tr w:rsidR="00234BB5" w:rsidRPr="002E196B" w14:paraId="00A2279B" w14:textId="231E0D6F" w:rsidTr="00234BB5">
        <w:tc>
          <w:tcPr>
            <w:tcW w:w="2245" w:type="dxa"/>
          </w:tcPr>
          <w:p w14:paraId="3B3BCFDD" w14:textId="113DF6C0" w:rsidR="00234BB5" w:rsidRPr="002E196B" w:rsidRDefault="00234BB5" w:rsidP="00234BB5">
            <w:proofErr w:type="spellStart"/>
            <w:proofErr w:type="gramStart"/>
            <w:r w:rsidRPr="002E196B">
              <w:t>EIRP</w:t>
            </w:r>
            <w:r w:rsidRPr="002E196B">
              <w:rPr>
                <w:vertAlign w:val="subscript"/>
              </w:rPr>
              <w:t>sd,horizon</w:t>
            </w:r>
            <w:proofErr w:type="spellEnd"/>
            <w:proofErr w:type="gramEnd"/>
            <w:r w:rsidRPr="002E196B">
              <w:t xml:space="preserve"> </w:t>
            </w:r>
            <w:r w:rsidRPr="002E196B">
              <w:tab/>
            </w:r>
          </w:p>
        </w:tc>
        <w:tc>
          <w:tcPr>
            <w:tcW w:w="6198" w:type="dxa"/>
          </w:tcPr>
          <w:p w14:paraId="112FDF19" w14:textId="77777777" w:rsidR="00234BB5" w:rsidRPr="002E196B" w:rsidRDefault="00234BB5" w:rsidP="00234BB5">
            <w:r w:rsidRPr="002E196B">
              <w:t xml:space="preserve">= -7.6 – 10 Log (20) </w:t>
            </w:r>
          </w:p>
          <w:p w14:paraId="748E7029" w14:textId="69E73354" w:rsidR="00234BB5" w:rsidRPr="002E196B" w:rsidRDefault="00234BB5" w:rsidP="00234BB5">
            <w:r w:rsidRPr="002E196B">
              <w:t>= -7.6 – 13.0</w:t>
            </w:r>
          </w:p>
          <w:p w14:paraId="52F6171E" w14:textId="5794CE33" w:rsidR="00234BB5" w:rsidRPr="002E196B" w:rsidRDefault="00234BB5" w:rsidP="00C10E41">
            <w:r w:rsidRPr="002E196B">
              <w:t>= -20.6 [</w:t>
            </w:r>
            <w:proofErr w:type="spellStart"/>
            <w:r w:rsidRPr="002E196B">
              <w:t>dBW</w:t>
            </w:r>
            <w:proofErr w:type="spellEnd"/>
            <w:r w:rsidRPr="002E196B">
              <w:t>/MHz]</w:t>
            </w:r>
          </w:p>
        </w:tc>
      </w:tr>
    </w:tbl>
    <w:p w14:paraId="18386260" w14:textId="77777777" w:rsidR="008D43B3" w:rsidRPr="002E196B" w:rsidRDefault="008D43B3" w:rsidP="00552D30">
      <w:pPr>
        <w:rPr>
          <w:b/>
          <w:bCs/>
        </w:rPr>
      </w:pPr>
      <w:r w:rsidRPr="002E196B">
        <w:rPr>
          <w:b/>
          <w:bCs/>
        </w:rPr>
        <w:t xml:space="preserve">   </w:t>
      </w:r>
      <w:r w:rsidRPr="002E196B">
        <w:rPr>
          <w:b/>
          <w:bCs/>
        </w:rPr>
        <w:tab/>
      </w:r>
    </w:p>
    <w:p w14:paraId="38DAC988" w14:textId="36FA52FE" w:rsidR="00A44886" w:rsidRPr="002E196B" w:rsidRDefault="00A44886" w:rsidP="00163DF7"/>
    <w:p w14:paraId="3C4EB89C" w14:textId="330D0673" w:rsidR="00304F9E" w:rsidRPr="002E196B" w:rsidRDefault="00304F9E" w:rsidP="00163DF7"/>
    <w:p w14:paraId="15BD3216" w14:textId="77777777" w:rsidR="00304F9E" w:rsidRPr="002E196B" w:rsidRDefault="00304F9E" w:rsidP="00163DF7"/>
    <w:p w14:paraId="5C7E0A8B" w14:textId="77777777" w:rsidR="00425190" w:rsidRPr="002E196B" w:rsidRDefault="00425190">
      <w:pPr>
        <w:spacing w:after="160" w:line="259" w:lineRule="auto"/>
        <w:rPr>
          <w:b/>
          <w:bCs/>
          <w:lang w:val="en-GB"/>
        </w:rPr>
      </w:pPr>
      <w:r w:rsidRPr="002E196B">
        <w:br w:type="page"/>
      </w:r>
    </w:p>
    <w:p w14:paraId="55E6FFF0" w14:textId="30F382E8" w:rsidR="008D43B3" w:rsidRPr="002E196B" w:rsidRDefault="00CA5155" w:rsidP="00CA0B3E">
      <w:pPr>
        <w:pStyle w:val="Header1"/>
        <w:numPr>
          <w:ilvl w:val="0"/>
          <w:numId w:val="0"/>
        </w:numPr>
        <w:ind w:left="1440" w:hanging="1440"/>
      </w:pPr>
      <w:bookmarkStart w:id="17" w:name="_Toc160797086"/>
      <w:r w:rsidRPr="002E196B">
        <w:lastRenderedPageBreak/>
        <w:t xml:space="preserve">ANNEX </w:t>
      </w:r>
      <w:r w:rsidR="00425190" w:rsidRPr="002E196B">
        <w:t>2</w:t>
      </w:r>
      <w:r w:rsidR="00CA0B3E" w:rsidRPr="002E196B">
        <w:tab/>
      </w:r>
      <w:r w:rsidR="008D43B3" w:rsidRPr="002E196B">
        <w:t xml:space="preserve">Example </w:t>
      </w:r>
      <w:r w:rsidR="00600BED" w:rsidRPr="002E196B">
        <w:t xml:space="preserve">of </w:t>
      </w:r>
      <w:r w:rsidR="008D43B3" w:rsidRPr="002E196B">
        <w:t xml:space="preserve">calculation of the </w:t>
      </w:r>
      <w:r w:rsidR="00931F11" w:rsidRPr="002E196B">
        <w:t xml:space="preserve">minimum </w:t>
      </w:r>
      <w:r w:rsidR="008D43B3" w:rsidRPr="002E196B">
        <w:t xml:space="preserve">distances for NGSO </w:t>
      </w:r>
      <w:r w:rsidR="003F3DDB" w:rsidRPr="002E196B">
        <w:t>Earth Station T</w:t>
      </w:r>
      <w:r w:rsidR="008D43B3" w:rsidRPr="002E196B">
        <w:t xml:space="preserve">erminals installed on </w:t>
      </w:r>
      <w:r w:rsidR="002B7928" w:rsidRPr="002E196B">
        <w:t>ships</w:t>
      </w:r>
      <w:bookmarkEnd w:id="17"/>
    </w:p>
    <w:p w14:paraId="67BF1F78" w14:textId="77777777" w:rsidR="00425190" w:rsidRPr="002E196B" w:rsidRDefault="00425190" w:rsidP="00CA0B3E">
      <w:pPr>
        <w:jc w:val="both"/>
      </w:pPr>
    </w:p>
    <w:p w14:paraId="7B6D9FD0" w14:textId="08F1D640" w:rsidR="008D43B3" w:rsidRPr="002E196B" w:rsidRDefault="008D43B3" w:rsidP="00CA0B3E">
      <w:pPr>
        <w:jc w:val="both"/>
      </w:pPr>
      <w:r w:rsidRPr="002E196B">
        <w:t xml:space="preserve">Resolution </w:t>
      </w:r>
      <w:r w:rsidR="007905C1" w:rsidRPr="002E196B">
        <w:rPr>
          <w:b/>
          <w:bCs/>
        </w:rPr>
        <w:t>902 (Rev.WRC-23)</w:t>
      </w:r>
      <w:r w:rsidRPr="002E196B">
        <w:t xml:space="preserve"> requires that a satellite terminal installed on a ship, and for operations toward to a GSO satellites requires a “</w:t>
      </w:r>
      <w:r w:rsidR="00931F11" w:rsidRPr="002E196B">
        <w:t xml:space="preserve">minimum </w:t>
      </w:r>
      <w:r w:rsidRPr="002E196B">
        <w:t xml:space="preserve">distance” of 125 km from the shores of a country that has terrestrial microwave systems in the band 14.0-14.5 GHz. This was determined </w:t>
      </w:r>
      <w:r w:rsidR="000C1FD3" w:rsidRPr="002E196B">
        <w:t xml:space="preserve">from </w:t>
      </w:r>
      <w:r w:rsidRPr="002E196B">
        <w:t>stud</w:t>
      </w:r>
      <w:r w:rsidR="000C1FD3" w:rsidRPr="002E196B">
        <w:t xml:space="preserve">ies </w:t>
      </w:r>
      <w:r w:rsidRPr="002E196B">
        <w:t xml:space="preserve">by ITU-R during the 2000-2003 period leading to the </w:t>
      </w:r>
      <w:r w:rsidR="005213DC" w:rsidRPr="002E196B">
        <w:t>WRC-03</w:t>
      </w:r>
      <w:r w:rsidRPr="002E196B">
        <w:t xml:space="preserve">. This was then confirmed by </w:t>
      </w:r>
      <w:r w:rsidR="00C47E76" w:rsidRPr="002E196B">
        <w:t>WRC-12</w:t>
      </w:r>
      <w:r w:rsidRPr="002E196B">
        <w:t>.</w:t>
      </w:r>
    </w:p>
    <w:p w14:paraId="3798D84A" w14:textId="77777777" w:rsidR="008D43B3" w:rsidRPr="002E196B" w:rsidRDefault="008D43B3" w:rsidP="00552D30">
      <w:pPr>
        <w:ind w:left="360"/>
      </w:pPr>
    </w:p>
    <w:p w14:paraId="7DAE4DBF" w14:textId="256DF6DF" w:rsidR="008D43B3" w:rsidRPr="002E196B" w:rsidRDefault="008D43B3" w:rsidP="00CA0B3E">
      <w:pPr>
        <w:jc w:val="both"/>
      </w:pPr>
      <w:r w:rsidRPr="002E196B">
        <w:t>However, in such studies none of the new</w:t>
      </w:r>
      <w:r w:rsidR="00857E69" w:rsidRPr="002E196B">
        <w:t>er</w:t>
      </w:r>
      <w:r w:rsidRPr="002E196B">
        <w:t xml:space="preserve"> NGSO </w:t>
      </w:r>
      <w:r w:rsidR="00857E69" w:rsidRPr="002E196B">
        <w:t xml:space="preserve">equipment </w:t>
      </w:r>
      <w:r w:rsidRPr="002E196B">
        <w:t xml:space="preserve">were considered and as such the CEPT engaged in studies to determine the interference potential </w:t>
      </w:r>
      <w:r w:rsidR="000C1FD3" w:rsidRPr="002E196B">
        <w:t xml:space="preserve">from the </w:t>
      </w:r>
      <w:r w:rsidR="00F3416E" w:rsidRPr="002E196B">
        <w:t xml:space="preserve">NGSO </w:t>
      </w:r>
      <w:r w:rsidR="000C1FD3" w:rsidRPr="002E196B">
        <w:t xml:space="preserve">Earth station terminals </w:t>
      </w:r>
      <w:r w:rsidR="00F3416E" w:rsidRPr="002E196B">
        <w:t>to</w:t>
      </w:r>
      <w:r w:rsidR="000C1FD3" w:rsidRPr="002E196B">
        <w:t xml:space="preserve"> </w:t>
      </w:r>
      <w:r w:rsidRPr="002E196B">
        <w:t>terrestrial microwave links operating it the range 14.0-14.5 GHz.</w:t>
      </w:r>
    </w:p>
    <w:p w14:paraId="22E98170" w14:textId="77777777" w:rsidR="008D43B3" w:rsidRPr="002E196B" w:rsidRDefault="008D43B3" w:rsidP="00552D30">
      <w:pPr>
        <w:ind w:left="360"/>
      </w:pPr>
    </w:p>
    <w:p w14:paraId="24FC5016" w14:textId="40B5122B" w:rsidR="00A1327F" w:rsidRPr="002E196B" w:rsidRDefault="008D43B3" w:rsidP="00CA0B3E">
      <w:pPr>
        <w:jc w:val="both"/>
        <w:rPr>
          <w:b/>
          <w:bCs/>
        </w:rPr>
      </w:pPr>
      <w:r w:rsidRPr="002E196B">
        <w:t xml:space="preserve">CEPT </w:t>
      </w:r>
      <w:r w:rsidR="00C41E9D" w:rsidRPr="002E196B">
        <w:t xml:space="preserve">technical </w:t>
      </w:r>
      <w:r w:rsidRPr="002E196B">
        <w:t>studies</w:t>
      </w:r>
      <w:r w:rsidR="00C41E9D" w:rsidRPr="002E196B">
        <w:t xml:space="preserve"> resulted in </w:t>
      </w:r>
      <w:r w:rsidRPr="002E196B">
        <w:t xml:space="preserve">ECC Report 271 </w:t>
      </w:r>
      <w:r w:rsidR="00F3416E" w:rsidRPr="002E196B">
        <w:t xml:space="preserve">which </w:t>
      </w:r>
      <w:r w:rsidRPr="002E196B">
        <w:t>show</w:t>
      </w:r>
      <w:r w:rsidR="00C41E9D" w:rsidRPr="002E196B">
        <w:t xml:space="preserve">s </w:t>
      </w:r>
      <w:r w:rsidR="00AC5E84" w:rsidRPr="002E196B">
        <w:t>some</w:t>
      </w:r>
      <w:r w:rsidR="00BB3A53" w:rsidRPr="002E196B">
        <w:t xml:space="preserve"> </w:t>
      </w:r>
      <w:r w:rsidRPr="002E196B">
        <w:t>NGSO terminals on ships can operate closer to the shore of a country that has terrestrial FS links (receivers)</w:t>
      </w:r>
      <w:r w:rsidR="00C41E9D" w:rsidRPr="002E196B">
        <w:t xml:space="preserve">; i.e., </w:t>
      </w:r>
      <w:r w:rsidRPr="002E196B">
        <w:t xml:space="preserve">closer than the 125 km distance recommended by the Resolution </w:t>
      </w:r>
      <w:r w:rsidR="007905C1" w:rsidRPr="002E196B">
        <w:rPr>
          <w:b/>
          <w:bCs/>
        </w:rPr>
        <w:t>902 (Rev.WRC-23)</w:t>
      </w:r>
      <w:r w:rsidR="005550DE" w:rsidRPr="002E196B">
        <w:rPr>
          <w:b/>
          <w:bCs/>
        </w:rPr>
        <w:t xml:space="preserve">. </w:t>
      </w:r>
    </w:p>
    <w:p w14:paraId="6595C5F5" w14:textId="77777777" w:rsidR="008D43B3" w:rsidRPr="002E196B" w:rsidRDefault="008D43B3" w:rsidP="00552D30">
      <w:pPr>
        <w:ind w:left="360"/>
      </w:pPr>
    </w:p>
    <w:p w14:paraId="3DD833D4" w14:textId="7D86C8F2" w:rsidR="008D43B3" w:rsidRPr="002E196B" w:rsidRDefault="00E03BD5" w:rsidP="00CA0B3E">
      <w:pPr>
        <w:jc w:val="both"/>
      </w:pPr>
      <w:r w:rsidRPr="002E196B">
        <w:t xml:space="preserve">The </w:t>
      </w:r>
      <w:r w:rsidR="008D43B3" w:rsidRPr="002E196B">
        <w:t>ECC Report</w:t>
      </w:r>
      <w:r w:rsidRPr="002E196B">
        <w:t xml:space="preserve"> 271</w:t>
      </w:r>
      <w:r w:rsidR="008D43B3" w:rsidRPr="002E196B">
        <w:t xml:space="preserve">, goes even further to propose a PFD mask for NGSO </w:t>
      </w:r>
      <w:r w:rsidR="0071004E" w:rsidRPr="002E196B">
        <w:t xml:space="preserve">Earth station </w:t>
      </w:r>
      <w:r w:rsidR="008D43B3" w:rsidRPr="002E196B">
        <w:t>terminals</w:t>
      </w:r>
      <w:r w:rsidR="00715290" w:rsidRPr="002E196B">
        <w:t xml:space="preserve"> on ship (</w:t>
      </w:r>
      <w:r w:rsidR="0071004E" w:rsidRPr="002E196B">
        <w:t>similarly to that of Earth stations installed on airplanes</w:t>
      </w:r>
      <w:r w:rsidR="00715290" w:rsidRPr="002E196B">
        <w:t>)</w:t>
      </w:r>
      <w:r w:rsidR="008D43B3" w:rsidRPr="002E196B">
        <w:t xml:space="preserve"> instead of a </w:t>
      </w:r>
      <w:r w:rsidR="00931F11" w:rsidRPr="002E196B">
        <w:t xml:space="preserve">minimum </w:t>
      </w:r>
      <w:r w:rsidR="008D43B3" w:rsidRPr="002E196B">
        <w:t xml:space="preserve">distance, </w:t>
      </w:r>
      <w:proofErr w:type="gramStart"/>
      <w:r w:rsidR="008D43B3" w:rsidRPr="002E196B">
        <w:t xml:space="preserve">so </w:t>
      </w:r>
      <w:r w:rsidR="00715290" w:rsidRPr="002E196B">
        <w:t xml:space="preserve">as </w:t>
      </w:r>
      <w:r w:rsidR="008D43B3" w:rsidRPr="002E196B">
        <w:t>to</w:t>
      </w:r>
      <w:proofErr w:type="gramEnd"/>
      <w:r w:rsidR="008D43B3" w:rsidRPr="002E196B">
        <w:t xml:space="preserve"> alleviate greatly the burden on both </w:t>
      </w:r>
      <w:r w:rsidR="00715290" w:rsidRPr="002E196B">
        <w:t xml:space="preserve">(i) </w:t>
      </w:r>
      <w:r w:rsidR="008D43B3" w:rsidRPr="002E196B">
        <w:t xml:space="preserve">the owners of Ships and </w:t>
      </w:r>
      <w:r w:rsidR="00715290" w:rsidRPr="002E196B">
        <w:t xml:space="preserve">(ii) </w:t>
      </w:r>
      <w:r w:rsidR="008D43B3" w:rsidRPr="002E196B">
        <w:t xml:space="preserve">the regulators in each country. </w:t>
      </w:r>
    </w:p>
    <w:p w14:paraId="2A490E1B" w14:textId="77777777" w:rsidR="00715290" w:rsidRPr="002E196B" w:rsidRDefault="00715290" w:rsidP="00552D30"/>
    <w:p w14:paraId="4FAEDD3A" w14:textId="58E5776E" w:rsidR="008D43B3" w:rsidRPr="002E196B" w:rsidRDefault="00600BED" w:rsidP="00CA0B3E">
      <w:pPr>
        <w:jc w:val="both"/>
      </w:pPr>
      <w:r w:rsidRPr="002E196B">
        <w:t xml:space="preserve">The ECC </w:t>
      </w:r>
      <w:r w:rsidR="00230B04" w:rsidRPr="002E196B">
        <w:t>Report</w:t>
      </w:r>
      <w:r w:rsidR="00715290" w:rsidRPr="002E196B">
        <w:t xml:space="preserve"> 271 </w:t>
      </w:r>
      <w:r w:rsidRPr="002E196B">
        <w:t>carried out</w:t>
      </w:r>
      <w:r w:rsidR="00715290" w:rsidRPr="002E196B">
        <w:t xml:space="preserve"> simulation studies using ITU-R FS link parameters and calculation methodologies, but this</w:t>
      </w:r>
      <w:r w:rsidR="008D43B3" w:rsidRPr="002E196B">
        <w:t xml:space="preserve"> can also be seen from a very simple calculation.</w:t>
      </w:r>
    </w:p>
    <w:p w14:paraId="0269D57D" w14:textId="77777777" w:rsidR="008D43B3" w:rsidRPr="002E196B" w:rsidRDefault="008D43B3" w:rsidP="00552D30">
      <w:pPr>
        <w:ind w:left="360"/>
      </w:pPr>
    </w:p>
    <w:p w14:paraId="312FC09A" w14:textId="7064F94D" w:rsidR="008D43B3" w:rsidRPr="002E196B" w:rsidRDefault="008675AC" w:rsidP="00CA0B3E">
      <w:pPr>
        <w:jc w:val="both"/>
      </w:pPr>
      <w:r w:rsidRPr="002E196B">
        <w:t>T</w:t>
      </w:r>
      <w:r w:rsidR="008D43B3" w:rsidRPr="002E196B">
        <w:t xml:space="preserve">he results given in </w:t>
      </w:r>
      <w:proofErr w:type="gramStart"/>
      <w:r w:rsidR="008D43B3" w:rsidRPr="002E196B">
        <w:t>the Annex</w:t>
      </w:r>
      <w:proofErr w:type="gramEnd"/>
      <w:r w:rsidR="008D43B3" w:rsidRPr="002E196B">
        <w:t xml:space="preserve"> </w:t>
      </w:r>
      <w:proofErr w:type="gramStart"/>
      <w:r w:rsidR="00715290" w:rsidRPr="002E196B">
        <w:t>1</w:t>
      </w:r>
      <w:r w:rsidR="008D43B3" w:rsidRPr="002E196B">
        <w:t xml:space="preserve">,  </w:t>
      </w:r>
      <w:r w:rsidRPr="002E196B">
        <w:t>showed</w:t>
      </w:r>
      <w:proofErr w:type="gramEnd"/>
      <w:r w:rsidRPr="002E196B">
        <w:t xml:space="preserve"> </w:t>
      </w:r>
      <w:r w:rsidR="008D43B3" w:rsidRPr="002E196B">
        <w:t xml:space="preserve">the difference in EIRP </w:t>
      </w:r>
      <w:r w:rsidR="00273F83" w:rsidRPr="002E196B">
        <w:t xml:space="preserve">(or </w:t>
      </w:r>
      <w:proofErr w:type="spellStart"/>
      <w:r w:rsidR="00273F83" w:rsidRPr="002E196B">
        <w:t>EIRPsd</w:t>
      </w:r>
      <w:proofErr w:type="spellEnd"/>
      <w:r w:rsidR="00273F83" w:rsidRPr="002E196B">
        <w:t xml:space="preserve">) </w:t>
      </w:r>
      <w:r w:rsidR="00EB4F8A" w:rsidRPr="002E196B">
        <w:t>toward the horizon, of a NGSO Earth station</w:t>
      </w:r>
      <w:r w:rsidR="008D43B3" w:rsidRPr="002E196B">
        <w:t xml:space="preserve"> terminal</w:t>
      </w:r>
      <w:r w:rsidR="00EB4F8A" w:rsidRPr="002E196B">
        <w:t>,</w:t>
      </w:r>
      <w:r w:rsidR="008D43B3" w:rsidRPr="002E196B">
        <w:t xml:space="preserve"> is </w:t>
      </w:r>
      <w:r w:rsidR="00871BE1" w:rsidRPr="002E196B">
        <w:t>23.9</w:t>
      </w:r>
      <w:r w:rsidR="00273F83" w:rsidRPr="002E196B">
        <w:t xml:space="preserve"> </w:t>
      </w:r>
      <w:r w:rsidR="008D43B3" w:rsidRPr="002E196B">
        <w:t xml:space="preserve">dB </w:t>
      </w:r>
      <w:r w:rsidR="00273F83" w:rsidRPr="002E196B">
        <w:t xml:space="preserve">(or </w:t>
      </w:r>
      <w:r w:rsidR="00871BE1" w:rsidRPr="002E196B">
        <w:t>3</w:t>
      </w:r>
      <w:r w:rsidR="000D2A9C" w:rsidRPr="002E196B">
        <w:t>3</w:t>
      </w:r>
      <w:r w:rsidR="00871BE1" w:rsidRPr="002E196B">
        <w:t>.1</w:t>
      </w:r>
      <w:r w:rsidR="00273F83" w:rsidRPr="002E196B">
        <w:t xml:space="preserve"> dB) </w:t>
      </w:r>
      <w:r w:rsidR="008D43B3" w:rsidRPr="002E196B">
        <w:t xml:space="preserve">lower than </w:t>
      </w:r>
      <w:r w:rsidR="00871BE1" w:rsidRPr="002E196B">
        <w:t>the limit prescribed in Res</w:t>
      </w:r>
      <w:r w:rsidR="00C47E76" w:rsidRPr="002E196B">
        <w:t>olution</w:t>
      </w:r>
      <w:r w:rsidR="00871BE1" w:rsidRPr="002E196B">
        <w:t xml:space="preserve"> </w:t>
      </w:r>
      <w:r w:rsidR="007905C1" w:rsidRPr="002E196B">
        <w:rPr>
          <w:b/>
          <w:bCs/>
        </w:rPr>
        <w:t>902 (Rev. WRC-23)</w:t>
      </w:r>
      <w:r w:rsidR="00871BE1" w:rsidRPr="002E196B">
        <w:t xml:space="preserve"> to protect a single FS station</w:t>
      </w:r>
      <w:r w:rsidR="008D43B3" w:rsidRPr="002E196B">
        <w:t xml:space="preserve">. </w:t>
      </w:r>
    </w:p>
    <w:p w14:paraId="0FFCA386" w14:textId="77777777" w:rsidR="008D43B3" w:rsidRPr="002E196B" w:rsidRDefault="008D43B3" w:rsidP="00552D30"/>
    <w:p w14:paraId="6A1A1269" w14:textId="01F1EA7B" w:rsidR="008D43B3" w:rsidRPr="002E196B" w:rsidRDefault="008D43B3" w:rsidP="00CA0B3E">
      <w:pPr>
        <w:jc w:val="both"/>
      </w:pPr>
      <w:r w:rsidRPr="002E196B">
        <w:t xml:space="preserve"> </w:t>
      </w:r>
      <w:r w:rsidR="008675AC" w:rsidRPr="002E196B">
        <w:t>C</w:t>
      </w:r>
      <w:r w:rsidRPr="002E196B">
        <w:t>alculat</w:t>
      </w:r>
      <w:r w:rsidR="008675AC" w:rsidRPr="002E196B">
        <w:t>ion</w:t>
      </w:r>
      <w:r w:rsidRPr="002E196B">
        <w:t xml:space="preserve"> </w:t>
      </w:r>
      <w:r w:rsidR="008675AC" w:rsidRPr="002E196B">
        <w:t xml:space="preserve">of </w:t>
      </w:r>
      <w:r w:rsidRPr="002E196B">
        <w:t xml:space="preserve">the reduction in </w:t>
      </w:r>
      <w:r w:rsidR="00903573" w:rsidRPr="002E196B">
        <w:t xml:space="preserve">minimum </w:t>
      </w:r>
      <w:r w:rsidRPr="002E196B">
        <w:t>distance as a reduction from the D=125 km, can be done using the line-of-sight path loss formula (</w:t>
      </w:r>
      <w:proofErr w:type="spellStart"/>
      <w:r w:rsidRPr="002E196B">
        <w:t>Lp</w:t>
      </w:r>
      <w:proofErr w:type="spellEnd"/>
      <w:r w:rsidRPr="002E196B">
        <w:t xml:space="preserve"> = 20 Log (4</w:t>
      </w:r>
      <w:r w:rsidRPr="002E196B">
        <w:rPr>
          <w:rFonts w:ascii="Symbol" w:hAnsi="Symbol"/>
        </w:rPr>
        <w:t></w:t>
      </w:r>
      <w:r w:rsidRPr="002E196B">
        <w:t xml:space="preserve"> D f/c); which can provide a </w:t>
      </w:r>
      <w:r w:rsidR="00273F83" w:rsidRPr="002E196B">
        <w:t xml:space="preserve">simple </w:t>
      </w:r>
      <w:r w:rsidR="005474ED" w:rsidRPr="002E196B">
        <w:t xml:space="preserve">and conservative </w:t>
      </w:r>
      <w:r w:rsidRPr="002E196B">
        <w:t>understanding of the matter), i.e.:</w:t>
      </w:r>
    </w:p>
    <w:p w14:paraId="054131F8" w14:textId="77777777" w:rsidR="008D43B3" w:rsidRPr="002E196B" w:rsidRDefault="008D43B3" w:rsidP="00552D30">
      <w:pPr>
        <w:pStyle w:val="ListParagraph"/>
        <w:ind w:left="0"/>
      </w:pPr>
    </w:p>
    <w:p w14:paraId="43932FA4" w14:textId="77777777" w:rsidR="00FF1C37" w:rsidRPr="002E196B" w:rsidRDefault="002837BD" w:rsidP="00FF1C37">
      <w:pPr>
        <w:pStyle w:val="ListParagraph"/>
        <w:keepLines/>
        <w:ind w:left="360"/>
        <w:jc w:val="both"/>
      </w:pPr>
      <w:r w:rsidRPr="002E196B">
        <w:t>With respect to the EIRP toward the horizon:</w:t>
      </w:r>
      <w:r w:rsidR="007D156B" w:rsidRPr="002E196B">
        <w:t xml:space="preserve">  </w:t>
      </w:r>
      <w:proofErr w:type="spellStart"/>
      <w:r w:rsidR="008D43B3" w:rsidRPr="002E196B">
        <w:t>Dngso</w:t>
      </w:r>
      <w:proofErr w:type="spellEnd"/>
      <w:r w:rsidR="008D43B3" w:rsidRPr="002E196B">
        <w:t xml:space="preserve"> = </w:t>
      </w:r>
      <w:r w:rsidR="00DB6AAC" w:rsidRPr="002E196B">
        <w:t>125 *</w:t>
      </w:r>
      <w:r w:rsidR="008D43B3" w:rsidRPr="002E196B">
        <w:t xml:space="preserve"> 10</w:t>
      </w:r>
      <w:proofErr w:type="gramStart"/>
      <w:r w:rsidR="008D43B3" w:rsidRPr="002E196B">
        <w:t>^(</w:t>
      </w:r>
      <w:proofErr w:type="gramEnd"/>
      <w:r w:rsidR="008D43B3" w:rsidRPr="002E196B">
        <w:t>-</w:t>
      </w:r>
      <w:r w:rsidR="00DB6AAC" w:rsidRPr="002E196B">
        <w:t>23.9</w:t>
      </w:r>
      <w:r w:rsidR="008D43B3" w:rsidRPr="002E196B">
        <w:t xml:space="preserve">/20)  = </w:t>
      </w:r>
      <w:r w:rsidR="00D93670" w:rsidRPr="002E196B">
        <w:t>8.0</w:t>
      </w:r>
      <w:r w:rsidR="008D43B3" w:rsidRPr="002E196B">
        <w:t xml:space="preserve"> km</w:t>
      </w:r>
      <w:r w:rsidR="00FF1C37" w:rsidRPr="002E196B">
        <w:t xml:space="preserve">, </w:t>
      </w:r>
      <w:r w:rsidRPr="002E196B">
        <w:t>o</w:t>
      </w:r>
      <w:r w:rsidR="00611DDF" w:rsidRPr="002E196B">
        <w:t>r</w:t>
      </w:r>
      <w:r w:rsidRPr="002E196B">
        <w:t xml:space="preserve">, </w:t>
      </w:r>
    </w:p>
    <w:p w14:paraId="15AEEC30" w14:textId="294E800D" w:rsidR="00611DDF" w:rsidRPr="002E196B" w:rsidRDefault="002837BD" w:rsidP="00FF1C37">
      <w:pPr>
        <w:pStyle w:val="ListParagraph"/>
        <w:keepLines/>
        <w:ind w:left="360"/>
        <w:jc w:val="both"/>
      </w:pPr>
      <w:r w:rsidRPr="002E196B">
        <w:t xml:space="preserve">With respect to the </w:t>
      </w:r>
      <w:proofErr w:type="spellStart"/>
      <w:r w:rsidRPr="002E196B">
        <w:t>EIRPsd</w:t>
      </w:r>
      <w:proofErr w:type="spellEnd"/>
      <w:r w:rsidRPr="002E196B">
        <w:t xml:space="preserve"> toward the horizon:</w:t>
      </w:r>
      <w:r w:rsidR="007D156B" w:rsidRPr="002E196B">
        <w:t xml:space="preserve"> </w:t>
      </w:r>
      <w:proofErr w:type="spellStart"/>
      <w:r w:rsidR="00611DDF" w:rsidRPr="002E196B">
        <w:t>Dngso</w:t>
      </w:r>
      <w:proofErr w:type="spellEnd"/>
      <w:r w:rsidR="00611DDF" w:rsidRPr="002E196B">
        <w:t xml:space="preserve"> = </w:t>
      </w:r>
      <w:r w:rsidR="00DB6AAC" w:rsidRPr="002E196B">
        <w:t>125 *</w:t>
      </w:r>
      <w:r w:rsidR="00611DDF" w:rsidRPr="002E196B">
        <w:t xml:space="preserve"> 10</w:t>
      </w:r>
      <w:proofErr w:type="gramStart"/>
      <w:r w:rsidR="00611DDF" w:rsidRPr="002E196B">
        <w:t>^(</w:t>
      </w:r>
      <w:proofErr w:type="gramEnd"/>
      <w:r w:rsidR="009459CB" w:rsidRPr="002E196B">
        <w:t>-3</w:t>
      </w:r>
      <w:r w:rsidR="004A7076" w:rsidRPr="002E196B">
        <w:t>3</w:t>
      </w:r>
      <w:r w:rsidR="009459CB" w:rsidRPr="002E196B">
        <w:t>.1</w:t>
      </w:r>
      <w:r w:rsidR="00611DDF" w:rsidRPr="002E196B">
        <w:t>/</w:t>
      </w:r>
      <w:r w:rsidR="00A81DC5" w:rsidRPr="002E196B">
        <w:t>2</w:t>
      </w:r>
      <w:r w:rsidR="00611DDF" w:rsidRPr="002E196B">
        <w:t xml:space="preserve">0) = </w:t>
      </w:r>
      <w:r w:rsidR="000D2A9C" w:rsidRPr="002E196B">
        <w:t>2.8</w:t>
      </w:r>
      <w:r w:rsidR="00A81DC5" w:rsidRPr="002E196B">
        <w:t xml:space="preserve"> km</w:t>
      </w:r>
    </w:p>
    <w:p w14:paraId="72A7B7FD" w14:textId="77777777" w:rsidR="008D43B3" w:rsidRPr="002E196B" w:rsidRDefault="008D43B3" w:rsidP="00552D30"/>
    <w:p w14:paraId="6A8C0D12" w14:textId="77777777" w:rsidR="008D43B3" w:rsidRPr="002E196B" w:rsidRDefault="008D43B3" w:rsidP="00CA0B3E">
      <w:pPr>
        <w:jc w:val="both"/>
      </w:pPr>
    </w:p>
    <w:p w14:paraId="19DE6E5E" w14:textId="70817DFD" w:rsidR="008D43B3" w:rsidRPr="002E196B" w:rsidRDefault="008D43B3" w:rsidP="00552D30">
      <w:r w:rsidRPr="002E196B">
        <w:t xml:space="preserve">Proper simulation results can be found in ECC Report 271, such report uses the same ITU-R technical references used to determine the distances of </w:t>
      </w:r>
      <w:r w:rsidR="00C47E76" w:rsidRPr="002E196B">
        <w:t>WRC</w:t>
      </w:r>
      <w:r w:rsidRPr="002E196B">
        <w:t xml:space="preserve"> Resolutions </w:t>
      </w:r>
      <w:r w:rsidRPr="002E196B">
        <w:rPr>
          <w:b/>
        </w:rPr>
        <w:t>902</w:t>
      </w:r>
      <w:r w:rsidR="0068722B" w:rsidRPr="002E196B">
        <w:rPr>
          <w:b/>
        </w:rPr>
        <w:t xml:space="preserve"> </w:t>
      </w:r>
      <w:r w:rsidR="0068722B" w:rsidRPr="002E196B">
        <w:t>(WRC-2003)</w:t>
      </w:r>
      <w:r w:rsidRPr="002E196B">
        <w:t xml:space="preserve"> </w:t>
      </w:r>
      <w:r w:rsidR="00DB1333" w:rsidRPr="002E196B">
        <w:t>i.e.,</w:t>
      </w:r>
    </w:p>
    <w:p w14:paraId="0764E53B" w14:textId="77777777" w:rsidR="008D43B3" w:rsidRPr="002E196B" w:rsidRDefault="008D43B3" w:rsidP="00425190">
      <w:pPr>
        <w:pStyle w:val="ListParagraph"/>
        <w:keepLines/>
        <w:numPr>
          <w:ilvl w:val="0"/>
          <w:numId w:val="10"/>
        </w:numPr>
        <w:ind w:left="360"/>
        <w:jc w:val="both"/>
      </w:pPr>
      <w:r w:rsidRPr="002E196B">
        <w:t>ITU-R Methodology of ESVs of Recommendation ITU-R SF.</w:t>
      </w:r>
      <w:proofErr w:type="gramStart"/>
      <w:r w:rsidRPr="002E196B">
        <w:t>1650;</w:t>
      </w:r>
      <w:proofErr w:type="gramEnd"/>
    </w:p>
    <w:p w14:paraId="44BABD68" w14:textId="77777777" w:rsidR="008D43B3" w:rsidRPr="002E196B" w:rsidRDefault="008D43B3" w:rsidP="00425190">
      <w:pPr>
        <w:pStyle w:val="ListParagraph"/>
        <w:keepLines/>
        <w:numPr>
          <w:ilvl w:val="0"/>
          <w:numId w:val="10"/>
        </w:numPr>
        <w:ind w:left="360"/>
        <w:jc w:val="both"/>
      </w:pPr>
      <w:r w:rsidRPr="002E196B">
        <w:t>FS parameters of Recommendation ITU-R F.758-6.</w:t>
      </w:r>
    </w:p>
    <w:p w14:paraId="4B0128BB" w14:textId="77777777" w:rsidR="008D43B3" w:rsidRPr="002E196B" w:rsidRDefault="008D43B3" w:rsidP="00552D30">
      <w:pPr>
        <w:pStyle w:val="ListParagraph"/>
        <w:ind w:left="993"/>
      </w:pPr>
    </w:p>
    <w:p w14:paraId="0329B390" w14:textId="0F555AA2" w:rsidR="00425190" w:rsidRPr="002E196B" w:rsidRDefault="00425190">
      <w:pPr>
        <w:spacing w:after="160" w:line="259" w:lineRule="auto"/>
        <w:rPr>
          <w:b/>
          <w:bCs/>
          <w:lang w:val="en-GB"/>
        </w:rPr>
      </w:pPr>
    </w:p>
    <w:p w14:paraId="74E1DDDC" w14:textId="77777777" w:rsidR="00600BED" w:rsidRPr="002E196B" w:rsidRDefault="00600BED">
      <w:pPr>
        <w:spacing w:after="160" w:line="259" w:lineRule="auto"/>
        <w:rPr>
          <w:b/>
          <w:bCs/>
          <w:lang w:val="en-GB"/>
        </w:rPr>
      </w:pPr>
      <w:r w:rsidRPr="002E196B">
        <w:br w:type="page"/>
      </w:r>
    </w:p>
    <w:p w14:paraId="068461A2" w14:textId="1828EB91" w:rsidR="005C67DA" w:rsidRPr="002E196B" w:rsidRDefault="005C67DA" w:rsidP="003F6C84">
      <w:pPr>
        <w:pStyle w:val="Header1"/>
        <w:numPr>
          <w:ilvl w:val="0"/>
          <w:numId w:val="0"/>
        </w:numPr>
        <w:ind w:left="360" w:hanging="360"/>
      </w:pPr>
      <w:bookmarkStart w:id="18" w:name="_Toc160797087"/>
      <w:r w:rsidRPr="002E196B">
        <w:lastRenderedPageBreak/>
        <w:t>ANNEX</w:t>
      </w:r>
      <w:r w:rsidR="008D43B3" w:rsidRPr="002E196B">
        <w:t xml:space="preserve"> </w:t>
      </w:r>
      <w:r w:rsidR="008213C5" w:rsidRPr="002E196B">
        <w:t>3</w:t>
      </w:r>
      <w:r w:rsidR="00FF1C37" w:rsidRPr="002E196B">
        <w:tab/>
      </w:r>
      <w:r w:rsidRPr="002E196B">
        <w:t>Technical conditions</w:t>
      </w:r>
      <w:r w:rsidR="00C63C70" w:rsidRPr="002E196B">
        <w:t xml:space="preserve"> for NGSO Earth Station terminals</w:t>
      </w:r>
      <w:bookmarkEnd w:id="18"/>
    </w:p>
    <w:p w14:paraId="0468B518" w14:textId="77777777" w:rsidR="005C67DA" w:rsidRPr="002E196B" w:rsidRDefault="005C67DA" w:rsidP="00425190">
      <w:pPr>
        <w:pStyle w:val="ListParagraph"/>
        <w:numPr>
          <w:ilvl w:val="0"/>
          <w:numId w:val="13"/>
        </w:numPr>
        <w:jc w:val="both"/>
        <w:rPr>
          <w:b/>
        </w:rPr>
      </w:pPr>
      <w:r w:rsidRPr="002E196B">
        <w:rPr>
          <w:b/>
        </w:rPr>
        <w:t>Existing technical studies from CEPT</w:t>
      </w:r>
    </w:p>
    <w:p w14:paraId="3FF800FB" w14:textId="77777777" w:rsidR="005C67DA" w:rsidRPr="002E196B" w:rsidRDefault="005C67DA" w:rsidP="00552D30">
      <w:pPr>
        <w:pStyle w:val="ListParagraph"/>
        <w:ind w:left="360"/>
      </w:pPr>
    </w:p>
    <w:p w14:paraId="284A7DEB" w14:textId="77777777" w:rsidR="00A94AB1" w:rsidRPr="002E196B" w:rsidRDefault="005C67DA" w:rsidP="00CA0B3E">
      <w:pPr>
        <w:jc w:val="both"/>
      </w:pPr>
      <w:r w:rsidRPr="002E196B">
        <w:t>CEPT has analyzed the interference potential of the NGSO satellite terminals, vis-à-vis protection of other services operating the same frequency band</w:t>
      </w:r>
      <w:r w:rsidRPr="002E196B">
        <w:rPr>
          <w:rStyle w:val="FootnoteReference"/>
        </w:rPr>
        <w:footnoteReference w:id="7"/>
      </w:r>
      <w:r w:rsidR="00A94AB1" w:rsidRPr="002E196B">
        <w:t>; this resulted in ECC Report 271.</w:t>
      </w:r>
      <w:r w:rsidRPr="002E196B">
        <w:t xml:space="preserve"> </w:t>
      </w:r>
    </w:p>
    <w:p w14:paraId="7EF37C86" w14:textId="77777777" w:rsidR="00A94AB1" w:rsidRPr="002E196B" w:rsidRDefault="00A94AB1" w:rsidP="00552D30">
      <w:pPr>
        <w:pStyle w:val="ListParagraph"/>
        <w:ind w:left="360"/>
      </w:pPr>
    </w:p>
    <w:p w14:paraId="5DFD115F" w14:textId="77777777" w:rsidR="00226605" w:rsidRPr="002E196B" w:rsidRDefault="00A94AB1" w:rsidP="00CA0B3E">
      <w:pPr>
        <w:jc w:val="both"/>
      </w:pPr>
      <w:r w:rsidRPr="002E196B">
        <w:t xml:space="preserve">It then </w:t>
      </w:r>
      <w:r w:rsidR="001B63A6" w:rsidRPr="002E196B">
        <w:t xml:space="preserve">developed </w:t>
      </w:r>
      <w:r w:rsidR="00C951B9" w:rsidRPr="002E196B">
        <w:t xml:space="preserve">the regulatory framework </w:t>
      </w:r>
      <w:r w:rsidR="00226605" w:rsidRPr="002E196B">
        <w:t>made in ECC Report 279</w:t>
      </w:r>
      <w:r w:rsidRPr="002E196B">
        <w:rPr>
          <w:vertAlign w:val="superscript"/>
        </w:rPr>
        <w:footnoteReference w:id="8"/>
      </w:r>
      <w:r w:rsidR="00226605" w:rsidRPr="002E196B">
        <w:t xml:space="preserve">, </w:t>
      </w:r>
      <w:r w:rsidR="001B63A6" w:rsidRPr="002E196B">
        <w:t xml:space="preserve">which provides the reasoning as to why NGSO Earth station terminals </w:t>
      </w:r>
      <w:r w:rsidR="00F3603C" w:rsidRPr="002E196B">
        <w:t>are an integral part of the FSS coprimary service.</w:t>
      </w:r>
    </w:p>
    <w:p w14:paraId="4A8898F4" w14:textId="77777777" w:rsidR="00F3603C" w:rsidRPr="002E196B" w:rsidRDefault="00F3603C" w:rsidP="00552D30"/>
    <w:p w14:paraId="7560960A" w14:textId="5378EE39" w:rsidR="00F3603C" w:rsidRPr="002E196B" w:rsidRDefault="00F3603C" w:rsidP="00CA0B3E">
      <w:pPr>
        <w:jc w:val="both"/>
      </w:pPr>
      <w:r w:rsidRPr="002E196B">
        <w:t xml:space="preserve">It also studied all Earth stations for EMC </w:t>
      </w:r>
      <w:r w:rsidR="00341DC1" w:rsidRPr="002E196B">
        <w:t>with aircraft at airport and flights and concluded ECC Report 272</w:t>
      </w:r>
      <w:r w:rsidR="00FF1C37" w:rsidRPr="002E196B">
        <w:t xml:space="preserve">, </w:t>
      </w:r>
      <w:r w:rsidR="00341DC1" w:rsidRPr="002E196B">
        <w:t xml:space="preserve">from which concluded that aircraft installed with NGSO Earth station terminals having an EIRP less than 54.5 </w:t>
      </w:r>
      <w:proofErr w:type="spellStart"/>
      <w:r w:rsidR="00341DC1" w:rsidRPr="002E196B">
        <w:t>dBW</w:t>
      </w:r>
      <w:proofErr w:type="spellEnd"/>
      <w:r w:rsidR="00341DC1" w:rsidRPr="002E196B">
        <w:t xml:space="preserve"> can operate anywhere at airport and gate-to-gate aircraft operations.</w:t>
      </w:r>
    </w:p>
    <w:p w14:paraId="1568EFD4" w14:textId="77777777" w:rsidR="00226605" w:rsidRPr="002E196B" w:rsidRDefault="00226605" w:rsidP="00552D30">
      <w:pPr>
        <w:pStyle w:val="ListParagraph"/>
        <w:ind w:left="360"/>
      </w:pPr>
    </w:p>
    <w:p w14:paraId="75C54498" w14:textId="77777777" w:rsidR="005C67DA" w:rsidRPr="002E196B" w:rsidRDefault="00341DC1" w:rsidP="00FF1C37">
      <w:pPr>
        <w:jc w:val="both"/>
      </w:pPr>
      <w:proofErr w:type="gramStart"/>
      <w:r w:rsidRPr="002E196B">
        <w:t>All of</w:t>
      </w:r>
      <w:proofErr w:type="gramEnd"/>
      <w:r w:rsidRPr="002E196B">
        <w:t xml:space="preserve"> the above was taken and developed </w:t>
      </w:r>
      <w:r w:rsidR="005C67DA" w:rsidRPr="002E196B">
        <w:t>ECC Decision (18)05</w:t>
      </w:r>
      <w:r w:rsidR="005C67DA" w:rsidRPr="002E196B">
        <w:rPr>
          <w:rStyle w:val="FootnoteReference"/>
        </w:rPr>
        <w:footnoteReference w:id="9"/>
      </w:r>
      <w:r w:rsidRPr="002E196B">
        <w:t xml:space="preserve">, which </w:t>
      </w:r>
      <w:r w:rsidR="005C67DA" w:rsidRPr="002E196B">
        <w:t>provides the following technical means to protect several services operating in the 14.0-14.5 GHz range:</w:t>
      </w:r>
    </w:p>
    <w:p w14:paraId="1E2CCB04" w14:textId="77777777" w:rsidR="005C67DA" w:rsidRPr="002E196B" w:rsidRDefault="005C67DA" w:rsidP="00552D30">
      <w:pPr>
        <w:pStyle w:val="ListParagraph"/>
        <w:ind w:left="360"/>
        <w:rPr>
          <w:sz w:val="22"/>
          <w:szCs w:val="22"/>
        </w:rPr>
      </w:pPr>
    </w:p>
    <w:p w14:paraId="37751226" w14:textId="77777777" w:rsidR="005C67DA" w:rsidRPr="002E196B" w:rsidRDefault="005C67DA" w:rsidP="00425190">
      <w:pPr>
        <w:pStyle w:val="ListParagraph"/>
        <w:keepLines/>
        <w:numPr>
          <w:ilvl w:val="0"/>
          <w:numId w:val="10"/>
        </w:numPr>
        <w:ind w:left="360"/>
        <w:jc w:val="both"/>
        <w:rPr>
          <w:b/>
          <w:bCs/>
          <w:sz w:val="22"/>
          <w:szCs w:val="22"/>
        </w:rPr>
      </w:pPr>
      <w:r w:rsidRPr="002E196B">
        <w:rPr>
          <w:b/>
          <w:bCs/>
          <w:sz w:val="22"/>
          <w:szCs w:val="22"/>
        </w:rPr>
        <w:t xml:space="preserve">PFD mask </w:t>
      </w:r>
      <w:r w:rsidRPr="002E196B">
        <w:rPr>
          <w:b/>
          <w:bCs/>
        </w:rPr>
        <w:t>for</w:t>
      </w:r>
      <w:r w:rsidRPr="002E196B">
        <w:rPr>
          <w:b/>
          <w:bCs/>
          <w:sz w:val="22"/>
          <w:szCs w:val="22"/>
        </w:rPr>
        <w:t xml:space="preserve"> NGSO terminals installed on </w:t>
      </w:r>
      <w:r w:rsidRPr="002E196B">
        <w:rPr>
          <w:b/>
          <w:sz w:val="22"/>
        </w:rPr>
        <w:t>Aircraft</w:t>
      </w:r>
      <w:r w:rsidRPr="002E196B">
        <w:rPr>
          <w:b/>
          <w:bCs/>
          <w:sz w:val="22"/>
          <w:szCs w:val="22"/>
        </w:rPr>
        <w:t xml:space="preserve"> to protect Fixed Service receivers:</w:t>
      </w:r>
    </w:p>
    <w:p w14:paraId="21461067" w14:textId="77777777" w:rsidR="005C67DA" w:rsidRPr="002E196B" w:rsidRDefault="005C67DA" w:rsidP="00425190">
      <w:pPr>
        <w:pStyle w:val="ListParagraph"/>
        <w:numPr>
          <w:ilvl w:val="0"/>
          <w:numId w:val="2"/>
        </w:numPr>
        <w:ind w:left="1985"/>
        <w:rPr>
          <w:sz w:val="22"/>
          <w:szCs w:val="22"/>
        </w:rPr>
      </w:pPr>
      <w:r w:rsidRPr="002E196B">
        <w:rPr>
          <w:sz w:val="22"/>
          <w:szCs w:val="22"/>
        </w:rPr>
        <w:t xml:space="preserve">–122 </w:t>
      </w:r>
      <w:proofErr w:type="gramStart"/>
      <w:r w:rsidRPr="002E196B">
        <w:rPr>
          <w:sz w:val="22"/>
          <w:szCs w:val="22"/>
        </w:rPr>
        <w:t>dB(</w:t>
      </w:r>
      <w:proofErr w:type="gramEnd"/>
      <w:r w:rsidRPr="002E196B">
        <w:rPr>
          <w:sz w:val="22"/>
          <w:szCs w:val="22"/>
        </w:rPr>
        <w:t xml:space="preserve">W/(m² · MHz)) </w:t>
      </w:r>
      <w:r w:rsidRPr="002E196B">
        <w:rPr>
          <w:sz w:val="22"/>
          <w:szCs w:val="22"/>
        </w:rPr>
        <w:tab/>
      </w:r>
      <w:r w:rsidRPr="002E196B">
        <w:rPr>
          <w:sz w:val="22"/>
          <w:szCs w:val="22"/>
        </w:rPr>
        <w:tab/>
        <w:t xml:space="preserve">for θ </w:t>
      </w:r>
      <w:r w:rsidRPr="002E196B">
        <w:rPr>
          <w:rFonts w:hint="eastAsia"/>
          <w:sz w:val="22"/>
          <w:szCs w:val="22"/>
        </w:rPr>
        <w:t>≤</w:t>
      </w:r>
      <w:r w:rsidRPr="002E196B">
        <w:rPr>
          <w:sz w:val="22"/>
          <w:szCs w:val="22"/>
        </w:rPr>
        <w:t xml:space="preserve"> 5°;</w:t>
      </w:r>
    </w:p>
    <w:p w14:paraId="17EFF5AB" w14:textId="77777777" w:rsidR="005C67DA" w:rsidRPr="002E196B" w:rsidRDefault="005C67DA" w:rsidP="00425190">
      <w:pPr>
        <w:pStyle w:val="ListParagraph"/>
        <w:numPr>
          <w:ilvl w:val="0"/>
          <w:numId w:val="2"/>
        </w:numPr>
        <w:ind w:left="1985"/>
        <w:rPr>
          <w:sz w:val="22"/>
          <w:szCs w:val="22"/>
        </w:rPr>
      </w:pPr>
      <w:r w:rsidRPr="002E196B">
        <w:rPr>
          <w:sz w:val="22"/>
          <w:szCs w:val="22"/>
        </w:rPr>
        <w:t xml:space="preserve">–127 + θ </w:t>
      </w:r>
      <w:proofErr w:type="gramStart"/>
      <w:r w:rsidRPr="002E196B">
        <w:rPr>
          <w:sz w:val="22"/>
          <w:szCs w:val="22"/>
        </w:rPr>
        <w:t>dB(</w:t>
      </w:r>
      <w:proofErr w:type="gramEnd"/>
      <w:r w:rsidRPr="002E196B">
        <w:rPr>
          <w:sz w:val="22"/>
          <w:szCs w:val="22"/>
        </w:rPr>
        <w:t xml:space="preserve">W/(m² · MHz)) </w:t>
      </w:r>
      <w:r w:rsidRPr="002E196B">
        <w:rPr>
          <w:sz w:val="22"/>
          <w:szCs w:val="22"/>
        </w:rPr>
        <w:tab/>
        <w:t xml:space="preserve">for 5° &lt; θ </w:t>
      </w:r>
      <w:r w:rsidRPr="002E196B">
        <w:rPr>
          <w:rFonts w:hint="eastAsia"/>
          <w:sz w:val="22"/>
          <w:szCs w:val="22"/>
        </w:rPr>
        <w:t>≤</w:t>
      </w:r>
      <w:r w:rsidRPr="002E196B">
        <w:rPr>
          <w:rFonts w:hint="eastAsia"/>
          <w:sz w:val="22"/>
          <w:szCs w:val="22"/>
        </w:rPr>
        <w:t>40</w:t>
      </w:r>
      <w:r w:rsidRPr="002E196B">
        <w:rPr>
          <w:rFonts w:hint="eastAsia"/>
          <w:sz w:val="22"/>
          <w:szCs w:val="22"/>
        </w:rPr>
        <w:t>°</w:t>
      </w:r>
      <w:r w:rsidRPr="002E196B">
        <w:rPr>
          <w:rFonts w:hint="eastAsia"/>
          <w:sz w:val="22"/>
          <w:szCs w:val="22"/>
        </w:rPr>
        <w:t>;</w:t>
      </w:r>
    </w:p>
    <w:p w14:paraId="6BB06813" w14:textId="77777777" w:rsidR="005C67DA" w:rsidRPr="002E196B" w:rsidRDefault="005C67DA" w:rsidP="00425190">
      <w:pPr>
        <w:pStyle w:val="ListParagraph"/>
        <w:numPr>
          <w:ilvl w:val="0"/>
          <w:numId w:val="2"/>
        </w:numPr>
        <w:ind w:left="1985"/>
        <w:rPr>
          <w:sz w:val="22"/>
          <w:szCs w:val="22"/>
        </w:rPr>
      </w:pPr>
      <w:r w:rsidRPr="002E196B">
        <w:rPr>
          <w:sz w:val="22"/>
          <w:szCs w:val="22"/>
        </w:rPr>
        <w:t xml:space="preserve">–87 </w:t>
      </w:r>
      <w:proofErr w:type="gramStart"/>
      <w:r w:rsidRPr="002E196B">
        <w:rPr>
          <w:sz w:val="22"/>
          <w:szCs w:val="22"/>
        </w:rPr>
        <w:t>dB(</w:t>
      </w:r>
      <w:proofErr w:type="gramEnd"/>
      <w:r w:rsidRPr="002E196B">
        <w:rPr>
          <w:sz w:val="22"/>
          <w:szCs w:val="22"/>
        </w:rPr>
        <w:t xml:space="preserve">W/(m² · MHz)) </w:t>
      </w:r>
      <w:r w:rsidRPr="002E196B">
        <w:rPr>
          <w:sz w:val="22"/>
          <w:szCs w:val="22"/>
        </w:rPr>
        <w:tab/>
      </w:r>
      <w:r w:rsidRPr="002E196B">
        <w:rPr>
          <w:sz w:val="22"/>
          <w:szCs w:val="22"/>
        </w:rPr>
        <w:tab/>
        <w:t xml:space="preserve">for 40° &lt; θ </w:t>
      </w:r>
      <w:r w:rsidRPr="002E196B">
        <w:rPr>
          <w:rFonts w:hint="eastAsia"/>
          <w:sz w:val="22"/>
          <w:szCs w:val="22"/>
        </w:rPr>
        <w:t>≤</w:t>
      </w:r>
      <w:r w:rsidRPr="002E196B">
        <w:rPr>
          <w:rFonts w:hint="eastAsia"/>
          <w:sz w:val="22"/>
          <w:szCs w:val="22"/>
        </w:rPr>
        <w:t>90</w:t>
      </w:r>
      <w:r w:rsidRPr="002E196B">
        <w:rPr>
          <w:rFonts w:hint="eastAsia"/>
          <w:sz w:val="22"/>
          <w:szCs w:val="22"/>
        </w:rPr>
        <w:t>°</w:t>
      </w:r>
    </w:p>
    <w:p w14:paraId="2C6679BA" w14:textId="77777777" w:rsidR="005C67DA" w:rsidRPr="002E196B" w:rsidRDefault="005C67DA" w:rsidP="00552D30">
      <w:pPr>
        <w:pStyle w:val="ListParagraph"/>
        <w:ind w:left="1200"/>
        <w:rPr>
          <w:sz w:val="22"/>
          <w:szCs w:val="22"/>
        </w:rPr>
      </w:pPr>
      <w:r w:rsidRPr="002E196B">
        <w:rPr>
          <w:sz w:val="22"/>
          <w:szCs w:val="22"/>
        </w:rPr>
        <w:t>With θ being the elevation angle above the horizontal plane at a point in the Earth.</w:t>
      </w:r>
    </w:p>
    <w:p w14:paraId="72589F0C" w14:textId="77777777" w:rsidR="005C67DA" w:rsidRPr="002E196B" w:rsidRDefault="005C67DA" w:rsidP="00552D30">
      <w:pPr>
        <w:pStyle w:val="ListParagraph"/>
        <w:ind w:left="1800"/>
        <w:rPr>
          <w:sz w:val="22"/>
          <w:szCs w:val="22"/>
        </w:rPr>
      </w:pPr>
    </w:p>
    <w:p w14:paraId="4CDA7E54" w14:textId="77777777" w:rsidR="005C67DA" w:rsidRPr="002E196B" w:rsidRDefault="005C67DA" w:rsidP="00425190">
      <w:pPr>
        <w:pStyle w:val="ListParagraph"/>
        <w:keepLines/>
        <w:numPr>
          <w:ilvl w:val="0"/>
          <w:numId w:val="10"/>
        </w:numPr>
        <w:ind w:left="360"/>
        <w:jc w:val="both"/>
        <w:rPr>
          <w:sz w:val="22"/>
          <w:szCs w:val="22"/>
        </w:rPr>
      </w:pPr>
      <w:r w:rsidRPr="002E196B">
        <w:rPr>
          <w:b/>
          <w:bCs/>
          <w:sz w:val="22"/>
          <w:szCs w:val="22"/>
        </w:rPr>
        <w:t xml:space="preserve">PFD </w:t>
      </w:r>
      <w:r w:rsidRPr="002E196B">
        <w:rPr>
          <w:b/>
          <w:bCs/>
        </w:rPr>
        <w:t>mask</w:t>
      </w:r>
      <w:r w:rsidRPr="002E196B">
        <w:rPr>
          <w:b/>
          <w:bCs/>
          <w:sz w:val="22"/>
          <w:szCs w:val="22"/>
        </w:rPr>
        <w:t xml:space="preserve"> for NGSO terminals installed on </w:t>
      </w:r>
      <w:r w:rsidRPr="002E196B">
        <w:rPr>
          <w:b/>
          <w:sz w:val="22"/>
        </w:rPr>
        <w:t>Ships</w:t>
      </w:r>
      <w:r w:rsidRPr="002E196B">
        <w:rPr>
          <w:b/>
          <w:bCs/>
          <w:sz w:val="22"/>
          <w:szCs w:val="22"/>
        </w:rPr>
        <w:t xml:space="preserve"> to protect Fixed Service receivers:</w:t>
      </w:r>
    </w:p>
    <w:p w14:paraId="752D36CD" w14:textId="77777777" w:rsidR="005C67DA" w:rsidRPr="002E196B" w:rsidRDefault="005C67DA" w:rsidP="00425190">
      <w:pPr>
        <w:pStyle w:val="ListParagraph"/>
        <w:numPr>
          <w:ilvl w:val="0"/>
          <w:numId w:val="2"/>
        </w:numPr>
        <w:ind w:left="1985"/>
        <w:rPr>
          <w:sz w:val="22"/>
          <w:szCs w:val="22"/>
        </w:rPr>
      </w:pPr>
      <w:r w:rsidRPr="002E196B">
        <w:rPr>
          <w:sz w:val="22"/>
          <w:szCs w:val="22"/>
        </w:rPr>
        <w:t xml:space="preserve">–116 </w:t>
      </w:r>
      <w:proofErr w:type="gramStart"/>
      <w:r w:rsidRPr="002E196B">
        <w:rPr>
          <w:sz w:val="22"/>
          <w:szCs w:val="22"/>
        </w:rPr>
        <w:t>dB(</w:t>
      </w:r>
      <w:proofErr w:type="gramEnd"/>
      <w:r w:rsidRPr="002E196B">
        <w:rPr>
          <w:sz w:val="22"/>
          <w:szCs w:val="22"/>
        </w:rPr>
        <w:t xml:space="preserve">W/(m² · MHz)) </w:t>
      </w:r>
    </w:p>
    <w:p w14:paraId="2200E4AB" w14:textId="77777777" w:rsidR="005C67DA" w:rsidRPr="002E196B" w:rsidRDefault="005C67DA" w:rsidP="00552D30">
      <w:pPr>
        <w:pStyle w:val="ListParagraph"/>
        <w:ind w:left="1200"/>
        <w:rPr>
          <w:sz w:val="22"/>
          <w:szCs w:val="22"/>
        </w:rPr>
      </w:pPr>
      <w:r w:rsidRPr="002E196B">
        <w:rPr>
          <w:sz w:val="22"/>
          <w:szCs w:val="22"/>
        </w:rPr>
        <w:t xml:space="preserve">Applied at a height of 80 </w:t>
      </w:r>
      <w:proofErr w:type="spellStart"/>
      <w:r w:rsidRPr="002E196B">
        <w:rPr>
          <w:sz w:val="22"/>
          <w:szCs w:val="22"/>
        </w:rPr>
        <w:t>metres</w:t>
      </w:r>
      <w:proofErr w:type="spellEnd"/>
      <w:r w:rsidRPr="002E196B">
        <w:rPr>
          <w:sz w:val="22"/>
          <w:szCs w:val="22"/>
        </w:rPr>
        <w:t xml:space="preserve"> above mean sea level at the low-water mark of the territory of the administrations having FS links.</w:t>
      </w:r>
    </w:p>
    <w:p w14:paraId="17514499" w14:textId="77777777" w:rsidR="005C67DA" w:rsidRPr="002E196B" w:rsidRDefault="005C67DA" w:rsidP="00552D30">
      <w:pPr>
        <w:pStyle w:val="ListParagraph"/>
        <w:ind w:left="2576"/>
        <w:rPr>
          <w:sz w:val="22"/>
          <w:szCs w:val="22"/>
        </w:rPr>
      </w:pPr>
    </w:p>
    <w:p w14:paraId="23C15835" w14:textId="77777777" w:rsidR="005C67DA" w:rsidRPr="002E196B" w:rsidRDefault="005C67DA" w:rsidP="00425190">
      <w:pPr>
        <w:pStyle w:val="ListParagraph"/>
        <w:keepLines/>
        <w:numPr>
          <w:ilvl w:val="0"/>
          <w:numId w:val="10"/>
        </w:numPr>
        <w:ind w:left="360"/>
        <w:jc w:val="both"/>
        <w:rPr>
          <w:sz w:val="22"/>
          <w:szCs w:val="22"/>
        </w:rPr>
      </w:pPr>
      <w:r w:rsidRPr="002E196B">
        <w:rPr>
          <w:b/>
          <w:bCs/>
          <w:sz w:val="22"/>
          <w:szCs w:val="22"/>
        </w:rPr>
        <w:t xml:space="preserve">PFD </w:t>
      </w:r>
      <w:r w:rsidRPr="002E196B">
        <w:rPr>
          <w:b/>
          <w:bCs/>
        </w:rPr>
        <w:t>mask</w:t>
      </w:r>
      <w:r w:rsidRPr="002E196B">
        <w:rPr>
          <w:b/>
          <w:bCs/>
          <w:sz w:val="22"/>
          <w:szCs w:val="22"/>
        </w:rPr>
        <w:t xml:space="preserve"> for NGSO terminals installed on </w:t>
      </w:r>
      <w:r w:rsidRPr="002E196B">
        <w:rPr>
          <w:b/>
          <w:sz w:val="22"/>
        </w:rPr>
        <w:t>Vehicles</w:t>
      </w:r>
      <w:r w:rsidRPr="002E196B">
        <w:rPr>
          <w:b/>
          <w:bCs/>
          <w:sz w:val="22"/>
          <w:szCs w:val="22"/>
        </w:rPr>
        <w:t xml:space="preserve"> (land-based service) to protect Radio Astronomy Service (RAS):</w:t>
      </w:r>
    </w:p>
    <w:p w14:paraId="4B61ACB0" w14:textId="77777777" w:rsidR="005C67DA" w:rsidRPr="002E196B" w:rsidRDefault="005C67DA" w:rsidP="00425190">
      <w:pPr>
        <w:pStyle w:val="ListParagraph"/>
        <w:numPr>
          <w:ilvl w:val="0"/>
          <w:numId w:val="2"/>
        </w:numPr>
        <w:ind w:left="1985"/>
        <w:rPr>
          <w:sz w:val="22"/>
          <w:szCs w:val="22"/>
        </w:rPr>
      </w:pPr>
      <w:r w:rsidRPr="002E196B">
        <w:rPr>
          <w:sz w:val="22"/>
          <w:szCs w:val="22"/>
        </w:rPr>
        <w:t xml:space="preserve">-116 </w:t>
      </w:r>
      <w:proofErr w:type="spellStart"/>
      <w:r w:rsidRPr="002E196B">
        <w:rPr>
          <w:sz w:val="22"/>
          <w:szCs w:val="22"/>
        </w:rPr>
        <w:t>dBW</w:t>
      </w:r>
      <w:proofErr w:type="spellEnd"/>
      <w:r w:rsidRPr="002E196B">
        <w:rPr>
          <w:sz w:val="22"/>
          <w:szCs w:val="22"/>
        </w:rPr>
        <w:t>/m²/MHz</w:t>
      </w:r>
    </w:p>
    <w:p w14:paraId="6D49C568" w14:textId="77777777" w:rsidR="005C67DA" w:rsidRPr="002E196B" w:rsidRDefault="005C67DA" w:rsidP="00552D30">
      <w:pPr>
        <w:pStyle w:val="ListParagraph"/>
        <w:ind w:left="1200"/>
        <w:rPr>
          <w:sz w:val="22"/>
          <w:szCs w:val="22"/>
        </w:rPr>
      </w:pPr>
      <w:r w:rsidRPr="002E196B">
        <w:rPr>
          <w:sz w:val="22"/>
          <w:szCs w:val="22"/>
        </w:rPr>
        <w:t xml:space="preserve">Applied at 30 m height above ground of the territory of the administrations having RAS receiver in 14.47-14.5 GHz. </w:t>
      </w:r>
    </w:p>
    <w:p w14:paraId="42271E97" w14:textId="77777777" w:rsidR="005C67DA" w:rsidRPr="002E196B" w:rsidRDefault="005C67DA" w:rsidP="00552D30">
      <w:pPr>
        <w:rPr>
          <w:sz w:val="22"/>
          <w:szCs w:val="22"/>
        </w:rPr>
      </w:pPr>
    </w:p>
    <w:p w14:paraId="71CD71C7" w14:textId="77777777" w:rsidR="005C67DA" w:rsidRPr="002E196B" w:rsidRDefault="005C67DA" w:rsidP="00425190">
      <w:pPr>
        <w:pStyle w:val="ListParagraph"/>
        <w:keepLines/>
        <w:numPr>
          <w:ilvl w:val="0"/>
          <w:numId w:val="10"/>
        </w:numPr>
        <w:ind w:left="360"/>
        <w:jc w:val="both"/>
        <w:rPr>
          <w:sz w:val="22"/>
          <w:szCs w:val="22"/>
        </w:rPr>
      </w:pPr>
      <w:r w:rsidRPr="002E196B">
        <w:rPr>
          <w:b/>
          <w:bCs/>
        </w:rPr>
        <w:t>Limitations</w:t>
      </w:r>
      <w:r w:rsidRPr="002E196B">
        <w:rPr>
          <w:b/>
          <w:bCs/>
          <w:sz w:val="22"/>
          <w:szCs w:val="22"/>
        </w:rPr>
        <w:t xml:space="preserve"> to NGSO terminals installed on </w:t>
      </w:r>
      <w:r w:rsidRPr="002E196B">
        <w:rPr>
          <w:b/>
          <w:sz w:val="22"/>
        </w:rPr>
        <w:t>Aircraft</w:t>
      </w:r>
      <w:r w:rsidRPr="002E196B">
        <w:rPr>
          <w:b/>
          <w:bCs/>
          <w:sz w:val="22"/>
          <w:szCs w:val="22"/>
        </w:rPr>
        <w:t xml:space="preserve"> to protect Radio Astronomy Service in the 14.47-14.5 GHz range:</w:t>
      </w:r>
    </w:p>
    <w:p w14:paraId="7192C0D9" w14:textId="77777777" w:rsidR="005C67DA" w:rsidRPr="002E196B" w:rsidRDefault="005C67DA" w:rsidP="00425190">
      <w:pPr>
        <w:pStyle w:val="ListParagraph"/>
        <w:numPr>
          <w:ilvl w:val="0"/>
          <w:numId w:val="2"/>
        </w:numPr>
        <w:ind w:left="1985"/>
        <w:rPr>
          <w:sz w:val="22"/>
          <w:szCs w:val="22"/>
        </w:rPr>
      </w:pPr>
      <w:r w:rsidRPr="002E196B">
        <w:rPr>
          <w:sz w:val="22"/>
          <w:szCs w:val="22"/>
        </w:rPr>
        <w:t>ESIM installed on aircraft are required to cease emissions when in visibility of a RAS station performing observations in the 14.47-14.5 GHz secondary RAS allocation.</w:t>
      </w:r>
      <w:r w:rsidRPr="002E196B">
        <w:rPr>
          <w:sz w:val="22"/>
          <w:szCs w:val="22"/>
        </w:rPr>
        <w:cr/>
      </w:r>
    </w:p>
    <w:p w14:paraId="25FD31DB" w14:textId="77777777" w:rsidR="005C67DA" w:rsidRPr="002E196B" w:rsidRDefault="005C67DA" w:rsidP="00425190">
      <w:pPr>
        <w:pStyle w:val="ListParagraph"/>
        <w:keepLines/>
        <w:numPr>
          <w:ilvl w:val="0"/>
          <w:numId w:val="10"/>
        </w:numPr>
        <w:ind w:left="360"/>
        <w:jc w:val="both"/>
        <w:rPr>
          <w:sz w:val="22"/>
          <w:szCs w:val="22"/>
        </w:rPr>
      </w:pPr>
      <w:r w:rsidRPr="002E196B">
        <w:rPr>
          <w:b/>
          <w:bCs/>
          <w:sz w:val="22"/>
          <w:szCs w:val="22"/>
        </w:rPr>
        <w:t>No limitations for NGSO terminals in the vicinity and/or inside an airport</w:t>
      </w:r>
      <w:r w:rsidRPr="002E196B">
        <w:rPr>
          <w:rStyle w:val="FootnoteReference"/>
          <w:b/>
          <w:bCs/>
          <w:sz w:val="22"/>
          <w:szCs w:val="22"/>
        </w:rPr>
        <w:footnoteReference w:id="10"/>
      </w:r>
      <w:r w:rsidRPr="002E196B">
        <w:rPr>
          <w:sz w:val="22"/>
          <w:szCs w:val="22"/>
        </w:rPr>
        <w:t xml:space="preserve"> (including on aircraft during take-off, landing, taxing and gate operations) as long at the peak EIRP of such terminals is below 54.5 </w:t>
      </w:r>
      <w:proofErr w:type="spellStart"/>
      <w:proofErr w:type="gramStart"/>
      <w:r w:rsidRPr="002E196B">
        <w:rPr>
          <w:sz w:val="22"/>
          <w:szCs w:val="22"/>
        </w:rPr>
        <w:t>dBW</w:t>
      </w:r>
      <w:proofErr w:type="spellEnd"/>
      <w:r w:rsidRPr="002E196B">
        <w:rPr>
          <w:sz w:val="22"/>
          <w:szCs w:val="22"/>
        </w:rPr>
        <w:t>;</w:t>
      </w:r>
      <w:proofErr w:type="gramEnd"/>
      <w:r w:rsidRPr="002E196B">
        <w:rPr>
          <w:sz w:val="22"/>
          <w:szCs w:val="22"/>
        </w:rPr>
        <w:t xml:space="preserve"> </w:t>
      </w:r>
    </w:p>
    <w:p w14:paraId="0DF761CE" w14:textId="77777777" w:rsidR="005C67DA" w:rsidRPr="002E196B" w:rsidRDefault="005C67DA" w:rsidP="00552D30">
      <w:pPr>
        <w:rPr>
          <w:sz w:val="22"/>
          <w:szCs w:val="22"/>
        </w:rPr>
      </w:pPr>
    </w:p>
    <w:p w14:paraId="666FD2E8" w14:textId="77777777" w:rsidR="005C67DA" w:rsidRPr="002E196B" w:rsidRDefault="005C67DA" w:rsidP="00FF1C37">
      <w:pPr>
        <w:jc w:val="both"/>
        <w:rPr>
          <w:bCs/>
        </w:rPr>
      </w:pPr>
      <w:r w:rsidRPr="002E196B">
        <w:rPr>
          <w:bCs/>
        </w:rPr>
        <w:lastRenderedPageBreak/>
        <w:t xml:space="preserve">This </w:t>
      </w:r>
      <w:r w:rsidRPr="002E196B">
        <w:t>matter</w:t>
      </w:r>
      <w:r w:rsidRPr="002E196B">
        <w:rPr>
          <w:bCs/>
        </w:rPr>
        <w:t xml:space="preserve"> is well exposed in the ECC Report 279</w:t>
      </w:r>
      <w:r w:rsidRPr="002E196B">
        <w:rPr>
          <w:bCs/>
          <w:vertAlign w:val="superscript"/>
        </w:rPr>
        <w:footnoteReference w:id="11"/>
      </w:r>
      <w:r w:rsidRPr="002E196B">
        <w:rPr>
          <w:bCs/>
        </w:rPr>
        <w:t>, and the technical results of the compatibility / sharing is given in ECC Report 271</w:t>
      </w:r>
      <w:r w:rsidRPr="002E196B">
        <w:rPr>
          <w:bCs/>
          <w:vertAlign w:val="superscript"/>
        </w:rPr>
        <w:footnoteReference w:id="12"/>
      </w:r>
      <w:r w:rsidRPr="002E196B">
        <w:rPr>
          <w:bCs/>
        </w:rPr>
        <w:t>.</w:t>
      </w:r>
    </w:p>
    <w:p w14:paraId="6D91D1F8" w14:textId="77777777" w:rsidR="005C67DA" w:rsidRPr="002E196B" w:rsidRDefault="005C67DA" w:rsidP="00552D30">
      <w:pPr>
        <w:rPr>
          <w:b/>
          <w:bCs/>
        </w:rPr>
      </w:pPr>
    </w:p>
    <w:p w14:paraId="0E310099" w14:textId="77777777" w:rsidR="005C67DA" w:rsidRPr="002E196B" w:rsidRDefault="005C67DA" w:rsidP="00425190">
      <w:pPr>
        <w:pStyle w:val="ListParagraph"/>
        <w:numPr>
          <w:ilvl w:val="0"/>
          <w:numId w:val="13"/>
        </w:numPr>
        <w:jc w:val="both"/>
        <w:rPr>
          <w:b/>
        </w:rPr>
      </w:pPr>
      <w:r w:rsidRPr="002E196B">
        <w:rPr>
          <w:b/>
        </w:rPr>
        <w:t>ETSI Equipment Standards</w:t>
      </w:r>
    </w:p>
    <w:p w14:paraId="08F09778" w14:textId="77777777" w:rsidR="005C67DA" w:rsidRPr="002E196B" w:rsidRDefault="005C67DA" w:rsidP="00FF1C37">
      <w:pPr>
        <w:jc w:val="both"/>
        <w:rPr>
          <w:bCs/>
        </w:rPr>
      </w:pPr>
    </w:p>
    <w:p w14:paraId="10EF9EAE" w14:textId="77777777" w:rsidR="005C67DA" w:rsidRPr="002E196B" w:rsidRDefault="005C67DA" w:rsidP="00FF1C37">
      <w:pPr>
        <w:jc w:val="both"/>
      </w:pPr>
      <w:r w:rsidRPr="002E196B">
        <w:rPr>
          <w:bCs/>
        </w:rPr>
        <w:t>Furthermore</w:t>
      </w:r>
      <w:r w:rsidRPr="002E196B">
        <w:t>, the ETSI equipment standard developed by ETSI for Non-GSO constellations in the Ku-band FSS allocations is:</w:t>
      </w:r>
    </w:p>
    <w:p w14:paraId="53A722A5" w14:textId="77777777" w:rsidR="005C67DA" w:rsidRPr="002E196B" w:rsidRDefault="005C67DA" w:rsidP="00552D30">
      <w:pPr>
        <w:pStyle w:val="NormalWeb"/>
        <w:spacing w:before="0" w:beforeAutospacing="0" w:after="0" w:afterAutospacing="0"/>
        <w:rPr>
          <w:lang w:val="en-GB"/>
        </w:rPr>
      </w:pPr>
      <w:r w:rsidRPr="002E196B">
        <w:t> </w:t>
      </w:r>
    </w:p>
    <w:p w14:paraId="4DE8FEF0" w14:textId="77777777" w:rsidR="005C67DA" w:rsidRPr="002E196B" w:rsidRDefault="005C67DA" w:rsidP="00425190">
      <w:pPr>
        <w:pStyle w:val="ListParagraph"/>
        <w:numPr>
          <w:ilvl w:val="0"/>
          <w:numId w:val="14"/>
        </w:numPr>
        <w:jc w:val="both"/>
        <w:rPr>
          <w:sz w:val="22"/>
          <w:szCs w:val="22"/>
          <w:lang w:val="en-AU"/>
        </w:rPr>
      </w:pPr>
      <w:r w:rsidRPr="002E196B">
        <w:rPr>
          <w:b/>
          <w:bCs/>
          <w:lang w:val="en-AU"/>
        </w:rPr>
        <w:t>ETSI Standard, EN 303 980 V 1.2.1</w:t>
      </w:r>
      <w:r w:rsidRPr="002E196B">
        <w:rPr>
          <w:rStyle w:val="FootnoteReference"/>
          <w:b/>
          <w:bCs/>
          <w:lang w:val="en-AU"/>
        </w:rPr>
        <w:footnoteReference w:id="13"/>
      </w:r>
      <w:r w:rsidRPr="002E196B">
        <w:rPr>
          <w:lang w:val="en-AU"/>
        </w:rPr>
        <w:t xml:space="preserve">, “Satellite Earth Stations and Systems (SES); Fixed and in-motion Earth Stations communicating with non-geostationary satellite systems (NEST) in the 11 GHz to 14 GHz </w:t>
      </w:r>
      <w:r w:rsidRPr="002E196B">
        <w:rPr>
          <w:bCs/>
        </w:rPr>
        <w:t>frequency</w:t>
      </w:r>
      <w:r w:rsidRPr="002E196B">
        <w:rPr>
          <w:lang w:val="en-AU"/>
        </w:rPr>
        <w:t xml:space="preserve"> bands; Harmonised Standard for access to radio spectrum”.</w:t>
      </w:r>
    </w:p>
    <w:p w14:paraId="2499DF17" w14:textId="77777777" w:rsidR="005C67DA" w:rsidRPr="002E196B" w:rsidRDefault="005C67DA" w:rsidP="00425190">
      <w:pPr>
        <w:pStyle w:val="ListParagraph"/>
        <w:numPr>
          <w:ilvl w:val="0"/>
          <w:numId w:val="14"/>
        </w:numPr>
        <w:jc w:val="both"/>
        <w:rPr>
          <w:sz w:val="22"/>
          <w:szCs w:val="22"/>
          <w:lang w:val="en-AU"/>
        </w:rPr>
      </w:pPr>
      <w:r w:rsidRPr="002E196B">
        <w:rPr>
          <w:b/>
          <w:bCs/>
          <w:lang w:val="en-AU"/>
        </w:rPr>
        <w:t>System Reference Document</w:t>
      </w:r>
      <w:r w:rsidRPr="002E196B">
        <w:rPr>
          <w:lang w:val="en-AU"/>
        </w:rPr>
        <w:t xml:space="preserve">, </w:t>
      </w:r>
      <w:r w:rsidRPr="002E196B">
        <w:rPr>
          <w:b/>
          <w:bCs/>
          <w:lang w:val="en-AU"/>
        </w:rPr>
        <w:t>ETSI TR 103 399 V1.1.1</w:t>
      </w:r>
      <w:r w:rsidRPr="002E196B">
        <w:rPr>
          <w:rStyle w:val="FootnoteReference"/>
          <w:b/>
          <w:bCs/>
          <w:lang w:val="en-AU"/>
        </w:rPr>
        <w:footnoteReference w:id="14"/>
      </w:r>
      <w:r w:rsidRPr="002E196B">
        <w:rPr>
          <w:lang w:val="en-AU"/>
        </w:rPr>
        <w:t>, “System Reference document (</w:t>
      </w:r>
      <w:proofErr w:type="spellStart"/>
      <w:r w:rsidRPr="002E196B">
        <w:rPr>
          <w:lang w:val="en-AU"/>
        </w:rPr>
        <w:t>SRdoc</w:t>
      </w:r>
      <w:proofErr w:type="spellEnd"/>
      <w:r w:rsidRPr="002E196B">
        <w:rPr>
          <w:lang w:val="en-AU"/>
        </w:rPr>
        <w:t xml:space="preserve">); Fixed and in-motion Earth stations communicating with satellites in non-geostationary orbits in the 11 GHz to 14 GHz </w:t>
      </w:r>
      <w:r w:rsidRPr="002E196B">
        <w:rPr>
          <w:bCs/>
        </w:rPr>
        <w:t>frequency</w:t>
      </w:r>
      <w:r w:rsidRPr="002E196B">
        <w:rPr>
          <w:lang w:val="en-AU"/>
        </w:rPr>
        <w:t xml:space="preserve"> band”.</w:t>
      </w:r>
    </w:p>
    <w:p w14:paraId="12988464" w14:textId="77777777" w:rsidR="005C67DA" w:rsidRPr="002E196B" w:rsidRDefault="005C67DA" w:rsidP="00552D30">
      <w:pPr>
        <w:pStyle w:val="NormalWeb"/>
        <w:spacing w:before="0" w:beforeAutospacing="0" w:after="0" w:afterAutospacing="0"/>
        <w:rPr>
          <w:rFonts w:ascii="Calibri" w:hAnsi="Calibri" w:cs="Calibri"/>
        </w:rPr>
      </w:pPr>
      <w:r w:rsidRPr="002E196B">
        <w:rPr>
          <w:rFonts w:ascii="Calibri" w:hAnsi="Calibri" w:cs="Calibri"/>
          <w:b/>
          <w:bCs/>
        </w:rPr>
        <w:t> </w:t>
      </w:r>
    </w:p>
    <w:p w14:paraId="001BAE73" w14:textId="5083B7D2" w:rsidR="005C67DA" w:rsidRPr="002E196B" w:rsidRDefault="005C67DA" w:rsidP="00FF1C37">
      <w:pPr>
        <w:jc w:val="both"/>
        <w:rPr>
          <w:lang w:val="en-AU"/>
        </w:rPr>
      </w:pPr>
      <w:r w:rsidRPr="002E196B">
        <w:t xml:space="preserve">The ETSI standard is for compliance of the equipment with the EU Radio Equipment </w:t>
      </w:r>
      <w:r w:rsidRPr="002E196B">
        <w:rPr>
          <w:bCs/>
        </w:rPr>
        <w:t>Directive</w:t>
      </w:r>
      <w:r w:rsidR="00025BC2" w:rsidRPr="002E196B">
        <w:rPr>
          <w:bCs/>
        </w:rPr>
        <w:t xml:space="preserve"> </w:t>
      </w:r>
      <w:hyperlink w:history="1"/>
      <w:r w:rsidRPr="002E196B">
        <w:rPr>
          <w:lang w:val="en-AU"/>
        </w:rPr>
        <w:t>(DIRECTIVE 2014/53/EU).</w:t>
      </w:r>
    </w:p>
    <w:p w14:paraId="07D93DDD" w14:textId="77777777" w:rsidR="006B60F4" w:rsidRPr="00BB3B21" w:rsidRDefault="006B60F4" w:rsidP="002E196B">
      <w:pPr>
        <w:spacing w:before="720"/>
        <w:ind w:left="3514" w:right="3830"/>
        <w:rPr>
          <w:color w:val="000000" w:themeColor="text1"/>
        </w:rPr>
      </w:pPr>
      <w:r w:rsidRPr="002E196B">
        <w:rPr>
          <w:color w:val="000000" w:themeColor="text1"/>
        </w:rPr>
        <w:t>_______________</w:t>
      </w:r>
    </w:p>
    <w:p w14:paraId="557515FC" w14:textId="77777777" w:rsidR="006B60F4" w:rsidRPr="00425190" w:rsidRDefault="006B60F4" w:rsidP="00FF1C37">
      <w:pPr>
        <w:jc w:val="both"/>
        <w:rPr>
          <w:rFonts w:ascii="Calibri" w:hAnsi="Calibri" w:cs="Calibri"/>
          <w:lang w:val="en-AU"/>
        </w:rPr>
      </w:pPr>
    </w:p>
    <w:sectPr w:rsidR="006B60F4" w:rsidRPr="00425190" w:rsidSect="00281AB2">
      <w:headerReference w:type="default" r:id="rId15"/>
      <w:footerReference w:type="even" r:id="rId16"/>
      <w:footerReference w:type="default" r:id="rId1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2171F" w14:textId="77777777" w:rsidR="003D58BB" w:rsidRDefault="003D58BB" w:rsidP="005C67DA">
      <w:r>
        <w:separator/>
      </w:r>
    </w:p>
  </w:endnote>
  <w:endnote w:type="continuationSeparator" w:id="0">
    <w:p w14:paraId="736AFFE0" w14:textId="77777777" w:rsidR="003D58BB" w:rsidRDefault="003D58BB" w:rsidP="005C67DA">
      <w:r>
        <w:continuationSeparator/>
      </w:r>
    </w:p>
  </w:endnote>
  <w:endnote w:type="continuationNotice" w:id="1">
    <w:p w14:paraId="423DAA7F" w14:textId="77777777" w:rsidR="003D58BB" w:rsidRDefault="003D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altName w:val="Guli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B0B1F" w14:textId="77777777" w:rsidR="00D866B9" w:rsidRDefault="00D866B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8E83" w14:textId="77777777" w:rsidR="00D866B9" w:rsidRDefault="00D866B9"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95757" w14:textId="667D7A06" w:rsidR="00D866B9" w:rsidRDefault="00D866B9">
    <w:pPr>
      <w:pStyle w:val="Footer"/>
    </w:pPr>
    <w:r>
      <w:tab/>
    </w:r>
    <w:r>
      <w:tab/>
      <w:t xml:space="preserve">Page </w:t>
    </w:r>
    <w:r>
      <w:rPr>
        <w:b/>
        <w:bCs/>
      </w:rPr>
      <w:fldChar w:fldCharType="begin"/>
    </w:r>
    <w:r>
      <w:rPr>
        <w:b/>
        <w:bCs/>
      </w:rPr>
      <w:instrText xml:space="preserve"> PAGE  \* Arabic  \* MERGEFORMAT </w:instrText>
    </w:r>
    <w:r>
      <w:rPr>
        <w:b/>
        <w:bCs/>
      </w:rPr>
      <w:fldChar w:fldCharType="separate"/>
    </w:r>
    <w:r w:rsidR="002E196B">
      <w:rPr>
        <w:b/>
        <w:bCs/>
        <w:noProof/>
      </w:rPr>
      <w:t>13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E196B">
      <w:rPr>
        <w:b/>
        <w:bCs/>
        <w:noProof/>
      </w:rPr>
      <w:t>13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4A835" w14:textId="77777777" w:rsidR="003D58BB" w:rsidRDefault="003D58BB" w:rsidP="005C67DA">
      <w:r>
        <w:separator/>
      </w:r>
    </w:p>
  </w:footnote>
  <w:footnote w:type="continuationSeparator" w:id="0">
    <w:p w14:paraId="1CF6179A" w14:textId="77777777" w:rsidR="003D58BB" w:rsidRDefault="003D58BB" w:rsidP="005C67DA">
      <w:r>
        <w:continuationSeparator/>
      </w:r>
    </w:p>
  </w:footnote>
  <w:footnote w:type="continuationNotice" w:id="1">
    <w:p w14:paraId="5CB3D113" w14:textId="77777777" w:rsidR="003D58BB" w:rsidRDefault="003D58BB"/>
  </w:footnote>
  <w:footnote w:id="2">
    <w:p w14:paraId="3D5C513C" w14:textId="6E6A64C0" w:rsidR="00895F5A" w:rsidRPr="00B6196A" w:rsidRDefault="00895F5A" w:rsidP="007905C1">
      <w:pPr>
        <w:pStyle w:val="FootnoteText"/>
        <w:spacing w:after="60"/>
        <w:rPr>
          <w:lang w:val="en-GB"/>
        </w:rPr>
      </w:pPr>
      <w:r w:rsidRPr="00600BED">
        <w:rPr>
          <w:rStyle w:val="FootnoteReference"/>
        </w:rPr>
        <w:footnoteRef/>
      </w:r>
      <w:r w:rsidRPr="00B6196A">
        <w:t xml:space="preserve"> </w:t>
      </w:r>
      <w:r w:rsidR="00723C24" w:rsidRPr="00B6196A">
        <w:rPr>
          <w:bCs/>
        </w:rPr>
        <w:t xml:space="preserve">in the </w:t>
      </w:r>
      <w:r w:rsidR="00B86B7A" w:rsidRPr="00B6196A">
        <w:rPr>
          <w:bCs/>
        </w:rPr>
        <w:t>ECC</w:t>
      </w:r>
      <w:r w:rsidR="00723C24" w:rsidRPr="00B6196A">
        <w:rPr>
          <w:bCs/>
        </w:rPr>
        <w:t xml:space="preserve"> Report 271</w:t>
      </w:r>
      <w:r w:rsidR="006718B1" w:rsidRPr="00B6196A">
        <w:rPr>
          <w:bCs/>
        </w:rPr>
        <w:t xml:space="preserve"> </w:t>
      </w:r>
      <w:hyperlink r:id="rId1" w:history="1">
        <w:r w:rsidR="006718B1" w:rsidRPr="00B6196A">
          <w:rPr>
            <w:rStyle w:val="Hyperlink"/>
            <w:lang w:val="en-GB"/>
          </w:rPr>
          <w:t>https://docdb.cept.org/download/3422</w:t>
        </w:r>
      </w:hyperlink>
    </w:p>
  </w:footnote>
  <w:footnote w:id="3">
    <w:p w14:paraId="592CFEB6" w14:textId="7460567E" w:rsidR="00260F08" w:rsidRPr="00B6196A" w:rsidRDefault="00260F08" w:rsidP="007905C1">
      <w:pPr>
        <w:pStyle w:val="FootnoteText"/>
        <w:spacing w:after="60"/>
        <w:rPr>
          <w:lang w:val="en-GB"/>
        </w:rPr>
      </w:pPr>
      <w:r w:rsidRPr="00B6196A">
        <w:rPr>
          <w:rStyle w:val="FootnoteReference"/>
        </w:rPr>
        <w:footnoteRef/>
      </w:r>
      <w:r w:rsidRPr="00B6196A">
        <w:t xml:space="preserve"> </w:t>
      </w:r>
      <w:r w:rsidRPr="00B6196A">
        <w:rPr>
          <w:lang w:val="en-GB"/>
        </w:rPr>
        <w:t>ECC Decision (18)05,</w:t>
      </w:r>
      <w:r w:rsidRPr="00B6196A">
        <w:t xml:space="preserve"> </w:t>
      </w:r>
      <w:hyperlink r:id="rId2" w:history="1">
        <w:r w:rsidRPr="00B6196A">
          <w:rPr>
            <w:rStyle w:val="Hyperlink"/>
          </w:rPr>
          <w:t>https://docdb.cept.org/download/1462</w:t>
        </w:r>
      </w:hyperlink>
    </w:p>
  </w:footnote>
  <w:footnote w:id="4">
    <w:p w14:paraId="46A8F1C9" w14:textId="1074B876" w:rsidR="00260F08" w:rsidRPr="00B6196A" w:rsidRDefault="00260F08" w:rsidP="007905C1">
      <w:pPr>
        <w:pStyle w:val="FootnoteText"/>
        <w:spacing w:after="60"/>
        <w:rPr>
          <w:lang w:val="en-GB"/>
        </w:rPr>
      </w:pPr>
      <w:r w:rsidRPr="00B6196A">
        <w:rPr>
          <w:rStyle w:val="FootnoteReference"/>
        </w:rPr>
        <w:footnoteRef/>
      </w:r>
      <w:r w:rsidRPr="00B6196A">
        <w:t xml:space="preserve"> </w:t>
      </w:r>
      <w:r w:rsidRPr="00B6196A">
        <w:rPr>
          <w:lang w:val="en-GB"/>
        </w:rPr>
        <w:t xml:space="preserve">ECC Report 271, </w:t>
      </w:r>
      <w:hyperlink r:id="rId3" w:history="1">
        <w:r w:rsidRPr="00B6196A">
          <w:rPr>
            <w:rStyle w:val="Hyperlink"/>
            <w:lang w:val="en-GB"/>
          </w:rPr>
          <w:t>https://docdb.cept.org/download/3422</w:t>
        </w:r>
      </w:hyperlink>
    </w:p>
  </w:footnote>
  <w:footnote w:id="5">
    <w:p w14:paraId="43E3A9A3" w14:textId="4CA9A99D" w:rsidR="00260F08" w:rsidRPr="00B6196A" w:rsidRDefault="00260F08" w:rsidP="007905C1">
      <w:pPr>
        <w:pStyle w:val="FootnoteText"/>
        <w:spacing w:after="60"/>
        <w:rPr>
          <w:lang w:val="en-GB"/>
        </w:rPr>
      </w:pPr>
      <w:r w:rsidRPr="00B6196A">
        <w:rPr>
          <w:rStyle w:val="FootnoteReference"/>
        </w:rPr>
        <w:footnoteRef/>
      </w:r>
      <w:r w:rsidRPr="00B6196A">
        <w:t xml:space="preserve"> ECC Report 279, see, </w:t>
      </w:r>
      <w:hyperlink r:id="rId4" w:history="1">
        <w:r w:rsidRPr="00B6196A">
          <w:rPr>
            <w:rStyle w:val="Hyperlink"/>
          </w:rPr>
          <w:t>https://docdb.cept.org/download/1330</w:t>
        </w:r>
      </w:hyperlink>
    </w:p>
  </w:footnote>
  <w:footnote w:id="6">
    <w:p w14:paraId="214741A7" w14:textId="244EBD53" w:rsidR="00AF1316" w:rsidRPr="00B6196A" w:rsidRDefault="00AF1316" w:rsidP="007905C1">
      <w:pPr>
        <w:pStyle w:val="FootnoteText"/>
        <w:spacing w:after="60"/>
        <w:rPr>
          <w:lang w:val="en-GB"/>
        </w:rPr>
      </w:pPr>
      <w:r w:rsidRPr="00B6196A">
        <w:rPr>
          <w:rStyle w:val="FootnoteReference"/>
        </w:rPr>
        <w:footnoteRef/>
      </w:r>
      <w:r w:rsidRPr="00B6196A">
        <w:t xml:space="preserve"> For license exempt NGSO terminals, CEPT has prescribed peak EIRP at 55.4 </w:t>
      </w:r>
      <w:proofErr w:type="spellStart"/>
      <w:r w:rsidRPr="00B6196A">
        <w:t>dBW</w:t>
      </w:r>
      <w:proofErr w:type="spellEnd"/>
      <w:r w:rsidRPr="00B6196A">
        <w:t xml:space="preserve"> (see, </w:t>
      </w:r>
      <w:hyperlink r:id="rId5" w:history="1">
        <w:r w:rsidRPr="00B6196A">
          <w:rPr>
            <w:rStyle w:val="Hyperlink"/>
          </w:rPr>
          <w:t>https://docdb.cept.org/download/3536</w:t>
        </w:r>
      </w:hyperlink>
      <w:r w:rsidRPr="00B6196A">
        <w:t xml:space="preserve">). However, the typical NGSO terminal EIRP is far below the 55.4 </w:t>
      </w:r>
      <w:proofErr w:type="spellStart"/>
      <w:r w:rsidRPr="00B6196A">
        <w:t>dBW</w:t>
      </w:r>
      <w:proofErr w:type="spellEnd"/>
      <w:r w:rsidRPr="00B6196A">
        <w:t xml:space="preserve">, and in effect between range of 34 to 43 </w:t>
      </w:r>
      <w:proofErr w:type="spellStart"/>
      <w:r w:rsidRPr="00B6196A">
        <w:t>dBW</w:t>
      </w:r>
      <w:proofErr w:type="spellEnd"/>
      <w:r w:rsidRPr="00B6196A">
        <w:t xml:space="preserve">. </w:t>
      </w:r>
    </w:p>
  </w:footnote>
  <w:footnote w:id="7">
    <w:p w14:paraId="34E792F3" w14:textId="77777777" w:rsidR="00D866B9" w:rsidRPr="00B6196A" w:rsidRDefault="00D866B9" w:rsidP="007905C1">
      <w:pPr>
        <w:pStyle w:val="FootnoteText"/>
        <w:spacing w:after="60"/>
        <w:rPr>
          <w:lang w:val="en-GB"/>
        </w:rPr>
      </w:pPr>
      <w:r w:rsidRPr="00B6196A">
        <w:rPr>
          <w:rStyle w:val="FootnoteReference"/>
        </w:rPr>
        <w:footnoteRef/>
      </w:r>
      <w:r w:rsidRPr="00B6196A">
        <w:t xml:space="preserve"> </w:t>
      </w:r>
      <w:r w:rsidRPr="00B6196A">
        <w:rPr>
          <w:lang w:val="en-GB"/>
        </w:rPr>
        <w:t xml:space="preserve">See ECC/Report 271, </w:t>
      </w:r>
      <w:hyperlink r:id="rId6" w:history="1">
        <w:r w:rsidRPr="00B6196A">
          <w:rPr>
            <w:rStyle w:val="Hyperlink"/>
            <w:lang w:val="en-GB"/>
          </w:rPr>
          <w:t>https://docdb.cept.org/download/3422</w:t>
        </w:r>
      </w:hyperlink>
      <w:r w:rsidRPr="00B6196A">
        <w:rPr>
          <w:lang w:val="en-GB"/>
        </w:rPr>
        <w:t xml:space="preserve">  </w:t>
      </w:r>
    </w:p>
  </w:footnote>
  <w:footnote w:id="8">
    <w:p w14:paraId="32FD3E88" w14:textId="09A34082" w:rsidR="00D866B9" w:rsidRPr="00B6196A" w:rsidRDefault="00D866B9" w:rsidP="007905C1">
      <w:pPr>
        <w:pStyle w:val="FootnoteText"/>
        <w:spacing w:after="60"/>
        <w:rPr>
          <w:lang w:val="en-GB"/>
        </w:rPr>
      </w:pPr>
      <w:r w:rsidRPr="00B6196A">
        <w:rPr>
          <w:rStyle w:val="FootnoteReference"/>
        </w:rPr>
        <w:footnoteRef/>
      </w:r>
      <w:r w:rsidRPr="00B6196A">
        <w:t xml:space="preserve"> </w:t>
      </w:r>
      <w:hyperlink r:id="rId7" w:history="1">
        <w:r w:rsidRPr="00B6196A">
          <w:rPr>
            <w:rStyle w:val="Hyperlink"/>
          </w:rPr>
          <w:t>https://docdb.cept.org/download/1330</w:t>
        </w:r>
      </w:hyperlink>
      <w:r w:rsidRPr="00B6196A">
        <w:t xml:space="preserve"> </w:t>
      </w:r>
    </w:p>
  </w:footnote>
  <w:footnote w:id="9">
    <w:p w14:paraId="3854C179" w14:textId="77777777" w:rsidR="00D866B9" w:rsidRPr="00B6196A" w:rsidRDefault="00D866B9" w:rsidP="007905C1">
      <w:pPr>
        <w:pStyle w:val="FootnoteText"/>
        <w:spacing w:after="60"/>
        <w:rPr>
          <w:lang w:val="en-GB"/>
        </w:rPr>
      </w:pPr>
      <w:r w:rsidRPr="00B6196A">
        <w:rPr>
          <w:rStyle w:val="FootnoteReference"/>
        </w:rPr>
        <w:footnoteRef/>
      </w:r>
      <w:r w:rsidRPr="00B6196A">
        <w:t xml:space="preserve"> See ECC/DEC</w:t>
      </w:r>
      <w:proofErr w:type="gramStart"/>
      <w:r w:rsidRPr="00B6196A">
        <w:t>/(</w:t>
      </w:r>
      <w:proofErr w:type="gramEnd"/>
      <w:r w:rsidRPr="00B6196A">
        <w:t xml:space="preserve">18)05, </w:t>
      </w:r>
      <w:hyperlink r:id="rId8" w:history="1">
        <w:r w:rsidRPr="00B6196A">
          <w:rPr>
            <w:rStyle w:val="Hyperlink"/>
          </w:rPr>
          <w:t>https://docdb.cept.org/download/1462</w:t>
        </w:r>
      </w:hyperlink>
    </w:p>
  </w:footnote>
  <w:footnote w:id="10">
    <w:p w14:paraId="268EFF2C" w14:textId="77777777" w:rsidR="00D866B9" w:rsidRPr="00B6196A" w:rsidRDefault="00D866B9" w:rsidP="007905C1">
      <w:pPr>
        <w:pStyle w:val="FootnoteText"/>
        <w:spacing w:after="60"/>
        <w:rPr>
          <w:lang w:val="en-GB"/>
        </w:rPr>
      </w:pPr>
      <w:r w:rsidRPr="00B6196A">
        <w:rPr>
          <w:rStyle w:val="FootnoteReference"/>
        </w:rPr>
        <w:footnoteRef/>
      </w:r>
      <w:r w:rsidRPr="00B6196A">
        <w:t xml:space="preserve"> </w:t>
      </w:r>
      <w:r w:rsidRPr="00B6196A">
        <w:rPr>
          <w:lang w:val="en-GB"/>
        </w:rPr>
        <w:t xml:space="preserve">See, ECC Report 272, </w:t>
      </w:r>
      <w:hyperlink r:id="rId9" w:history="1">
        <w:r w:rsidRPr="00B6196A">
          <w:rPr>
            <w:rStyle w:val="Hyperlink"/>
            <w:lang w:val="en-GB"/>
          </w:rPr>
          <w:t>https://docdb.cept.org/download/1315</w:t>
        </w:r>
      </w:hyperlink>
      <w:r w:rsidRPr="00B6196A">
        <w:rPr>
          <w:lang w:val="en-GB"/>
        </w:rPr>
        <w:t xml:space="preserve"> .</w:t>
      </w:r>
    </w:p>
  </w:footnote>
  <w:footnote w:id="11">
    <w:p w14:paraId="56E00802" w14:textId="77777777" w:rsidR="00D866B9" w:rsidRPr="00B6196A" w:rsidRDefault="00D866B9" w:rsidP="007905C1">
      <w:pPr>
        <w:pStyle w:val="FootnoteText"/>
        <w:spacing w:after="60"/>
        <w:rPr>
          <w:lang w:val="en-GB"/>
        </w:rPr>
      </w:pPr>
      <w:r w:rsidRPr="00B6196A">
        <w:rPr>
          <w:rStyle w:val="FootnoteReference"/>
        </w:rPr>
        <w:footnoteRef/>
      </w:r>
      <w:r w:rsidRPr="00B6196A">
        <w:t xml:space="preserve"> </w:t>
      </w:r>
      <w:r w:rsidRPr="00B6196A">
        <w:rPr>
          <w:lang w:val="en-GB"/>
        </w:rPr>
        <w:t xml:space="preserve">See, </w:t>
      </w:r>
      <w:hyperlink r:id="rId10" w:history="1">
        <w:r w:rsidRPr="00B6196A">
          <w:rPr>
            <w:rStyle w:val="Hyperlink"/>
            <w:lang w:val="en-GB"/>
          </w:rPr>
          <w:t>https://docdb.cept.org/download/1330</w:t>
        </w:r>
      </w:hyperlink>
      <w:r w:rsidRPr="00B6196A">
        <w:rPr>
          <w:rStyle w:val="Hyperlink"/>
          <w:lang w:val="en-GB"/>
        </w:rPr>
        <w:t xml:space="preserve"> </w:t>
      </w:r>
      <w:r w:rsidRPr="00B6196A">
        <w:rPr>
          <w:lang w:val="en-GB"/>
        </w:rPr>
        <w:t xml:space="preserve"> </w:t>
      </w:r>
    </w:p>
  </w:footnote>
  <w:footnote w:id="12">
    <w:p w14:paraId="6BA02A70" w14:textId="77777777" w:rsidR="00D866B9" w:rsidRPr="00B6196A" w:rsidRDefault="00D866B9" w:rsidP="007905C1">
      <w:pPr>
        <w:pStyle w:val="FootnoteText"/>
        <w:spacing w:after="60"/>
        <w:rPr>
          <w:lang w:val="en-GB"/>
        </w:rPr>
      </w:pPr>
      <w:r w:rsidRPr="00B6196A">
        <w:rPr>
          <w:rStyle w:val="FootnoteReference"/>
        </w:rPr>
        <w:footnoteRef/>
      </w:r>
      <w:r w:rsidRPr="00B6196A">
        <w:t xml:space="preserve"> </w:t>
      </w:r>
      <w:r w:rsidRPr="00B6196A">
        <w:rPr>
          <w:lang w:val="en-GB"/>
        </w:rPr>
        <w:t xml:space="preserve">See, </w:t>
      </w:r>
      <w:hyperlink r:id="rId11" w:history="1">
        <w:r w:rsidRPr="00B6196A">
          <w:rPr>
            <w:rStyle w:val="Hyperlink"/>
            <w:lang w:val="en-GB"/>
          </w:rPr>
          <w:t>https://docdb.cept.org/download/3422</w:t>
        </w:r>
      </w:hyperlink>
      <w:r w:rsidRPr="00B6196A">
        <w:rPr>
          <w:lang w:val="en-GB"/>
        </w:rPr>
        <w:t xml:space="preserve">  </w:t>
      </w:r>
    </w:p>
  </w:footnote>
  <w:footnote w:id="13">
    <w:p w14:paraId="7A88F23C" w14:textId="123F7668" w:rsidR="00D866B9" w:rsidRPr="00B6196A" w:rsidRDefault="00D866B9" w:rsidP="007905C1">
      <w:pPr>
        <w:spacing w:after="60"/>
        <w:textAlignment w:val="center"/>
        <w:rPr>
          <w:sz w:val="20"/>
          <w:szCs w:val="20"/>
          <w:lang w:val="en-AU"/>
        </w:rPr>
      </w:pPr>
      <w:r w:rsidRPr="00B6196A">
        <w:rPr>
          <w:rStyle w:val="FootnoteReference"/>
          <w:sz w:val="20"/>
          <w:szCs w:val="20"/>
        </w:rPr>
        <w:footnoteRef/>
      </w:r>
      <w:r w:rsidRPr="00B6196A">
        <w:rPr>
          <w:sz w:val="20"/>
          <w:szCs w:val="20"/>
        </w:rPr>
        <w:t xml:space="preserve"> </w:t>
      </w:r>
      <w:hyperlink r:id="rId12" w:history="1">
        <w:r w:rsidRPr="00B6196A">
          <w:rPr>
            <w:rStyle w:val="Hyperlink"/>
            <w:sz w:val="20"/>
            <w:szCs w:val="20"/>
            <w:lang w:val="en-AU"/>
          </w:rPr>
          <w:t>https://www.etsi.org/deliver/etsi_en/303900_303999/303980/01.02.00_20/en_303980v010200a.pdf</w:t>
        </w:r>
      </w:hyperlink>
    </w:p>
  </w:footnote>
  <w:footnote w:id="14">
    <w:p w14:paraId="14C53313" w14:textId="7FD99465" w:rsidR="00D866B9" w:rsidRPr="007905C1" w:rsidRDefault="00D866B9" w:rsidP="007905C1">
      <w:pPr>
        <w:spacing w:after="60"/>
        <w:textAlignment w:val="center"/>
        <w:rPr>
          <w:sz w:val="20"/>
          <w:szCs w:val="20"/>
          <w:lang w:val="en-GB"/>
        </w:rPr>
      </w:pPr>
      <w:r w:rsidRPr="00B6196A">
        <w:rPr>
          <w:rStyle w:val="FootnoteReference"/>
          <w:sz w:val="20"/>
          <w:szCs w:val="20"/>
        </w:rPr>
        <w:footnoteRef/>
      </w:r>
      <w:hyperlink r:id="rId13" w:history="1">
        <w:r w:rsidR="008F7119" w:rsidRPr="00B6196A">
          <w:rPr>
            <w:rStyle w:val="Hyperlink"/>
            <w:sz w:val="20"/>
            <w:szCs w:val="20"/>
          </w:rPr>
          <w:t>https://www.etsi.org/deliver/etsi_tr/103300_103399/103399/01.01.01_60/tr_103399v010101p.pdf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C4972" w14:textId="38AD2BEE" w:rsidR="00D866B9" w:rsidRDefault="0009714B" w:rsidP="0009714B">
    <w:pPr>
      <w:pStyle w:val="Header"/>
      <w:tabs>
        <w:tab w:val="clear" w:pos="4320"/>
        <w:tab w:val="clear" w:pos="8640"/>
      </w:tabs>
      <w:jc w:val="center"/>
      <w:rPr>
        <w:lang w:eastAsia="ko-KR"/>
      </w:rPr>
    </w:pPr>
    <w:r w:rsidRPr="00EF57EA">
      <w:rPr>
        <w:bCs/>
        <w:lang w:eastAsia="ko-KR"/>
      </w:rPr>
      <w:t>APT/AWG/REP-13</w:t>
    </w:r>
    <w:r>
      <w:rPr>
        <w:bCs/>
        <w:lang w:eastAsia="ko-KR"/>
      </w:rPr>
      <w:t>7</w:t>
    </w:r>
  </w:p>
  <w:p w14:paraId="44CA6A83" w14:textId="77777777" w:rsidR="00D866B9" w:rsidRDefault="00D866B9"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C09A81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356A57"/>
    <w:multiLevelType w:val="hybridMultilevel"/>
    <w:tmpl w:val="41328CFC"/>
    <w:lvl w:ilvl="0" w:tplc="C44E806C">
      <w:start w:val="36"/>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046B30D3"/>
    <w:multiLevelType w:val="hybridMultilevel"/>
    <w:tmpl w:val="7E8AFF78"/>
    <w:lvl w:ilvl="0" w:tplc="3C0ABF08">
      <w:start w:val="1"/>
      <w:numFmt w:val="bullet"/>
      <w:lvlText w:val="‒"/>
      <w:lvlJc w:val="left"/>
      <w:pPr>
        <w:ind w:left="360" w:hanging="360"/>
      </w:pPr>
      <w:rPr>
        <w:rFonts w:ascii="Times New Roman" w:hAnsi="Times New Roman" w:cs="Times New Roman" w:hint="default"/>
        <w:sz w:val="16"/>
        <w:szCs w:val="4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5BB78C6"/>
    <w:multiLevelType w:val="multilevel"/>
    <w:tmpl w:val="0C60070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DA7884"/>
    <w:multiLevelType w:val="hybridMultilevel"/>
    <w:tmpl w:val="ABB60B9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AEE0213"/>
    <w:multiLevelType w:val="hybridMultilevel"/>
    <w:tmpl w:val="AEDE0560"/>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B5608D"/>
    <w:multiLevelType w:val="hybridMultilevel"/>
    <w:tmpl w:val="951493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55256"/>
    <w:multiLevelType w:val="multilevel"/>
    <w:tmpl w:val="F6F47C68"/>
    <w:lvl w:ilvl="0">
      <w:start w:val="1"/>
      <w:numFmt w:val="lowerLetter"/>
      <w:lvlText w:val="%1)"/>
      <w:lvlJc w:val="left"/>
      <w:pPr>
        <w:ind w:left="1080" w:hanging="360"/>
      </w:pPr>
      <w:rPr>
        <w:rFonts w:hint="default"/>
        <w:b/>
        <w:bCs/>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4F4570C"/>
    <w:multiLevelType w:val="hybridMultilevel"/>
    <w:tmpl w:val="2C68D76A"/>
    <w:lvl w:ilvl="0" w:tplc="0A5CC214">
      <w:numFmt w:val="bullet"/>
      <w:lvlText w:val="-"/>
      <w:lvlJc w:val="left"/>
      <w:pPr>
        <w:ind w:left="1080" w:hanging="360"/>
      </w:pPr>
      <w:rPr>
        <w:rFonts w:ascii="Century Gothic" w:eastAsia="Times New Roman" w:hAnsi="Century Gothic"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E93340"/>
    <w:multiLevelType w:val="hybridMultilevel"/>
    <w:tmpl w:val="94D2D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F63DCF"/>
    <w:multiLevelType w:val="multilevel"/>
    <w:tmpl w:val="10C8492A"/>
    <w:lvl w:ilvl="0">
      <w:start w:val="1"/>
      <w:numFmt w:val="decimal"/>
      <w:pStyle w:val="Header1"/>
      <w:lvlText w:val="%1."/>
      <w:lvlJc w:val="left"/>
      <w:pPr>
        <w:ind w:left="360" w:hanging="360"/>
      </w:pPr>
      <w:rPr>
        <w:rFonts w:hint="default"/>
        <w:b/>
        <w:bCs/>
        <w:sz w:val="24"/>
        <w:szCs w:val="24"/>
      </w:rPr>
    </w:lvl>
    <w:lvl w:ilvl="1">
      <w:start w:val="1"/>
      <w:numFmt w:val="decimal"/>
      <w:pStyle w:val="Header2"/>
      <w:lvlText w:val="%1.%2."/>
      <w:lvlJc w:val="left"/>
      <w:pPr>
        <w:ind w:left="792" w:hanging="432"/>
      </w:pPr>
      <w:rPr>
        <w:rFonts w:hint="default"/>
        <w:i w:val="0"/>
        <w:iCs w:val="0"/>
      </w:rPr>
    </w:lvl>
    <w:lvl w:ilvl="2">
      <w:start w:val="1"/>
      <w:numFmt w:val="decimal"/>
      <w:lvlText w:val="%1.%2.%3."/>
      <w:lvlJc w:val="left"/>
      <w:pPr>
        <w:ind w:left="1224" w:hanging="504"/>
      </w:pPr>
      <w:rPr>
        <w:rFonts w:hint="default"/>
        <w:i w:val="0"/>
        <w:iCs w:val="0"/>
        <w:sz w:val="24"/>
        <w:szCs w:val="24"/>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1" w15:restartNumberingAfterBreak="0">
    <w:nsid w:val="4B5F4B1D"/>
    <w:multiLevelType w:val="hybridMultilevel"/>
    <w:tmpl w:val="5E60F968"/>
    <w:lvl w:ilvl="0" w:tplc="3C0ABF08">
      <w:start w:val="1"/>
      <w:numFmt w:val="bullet"/>
      <w:lvlText w:val="‒"/>
      <w:lvlJc w:val="left"/>
      <w:pPr>
        <w:ind w:left="360" w:hanging="360"/>
      </w:pPr>
      <w:rPr>
        <w:rFonts w:ascii="Times New Roman" w:hAnsi="Times New Roman" w:cs="Times New Roman" w:hint="default"/>
        <w:sz w:val="16"/>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D2D09C9"/>
    <w:multiLevelType w:val="hybridMultilevel"/>
    <w:tmpl w:val="59A8F0A0"/>
    <w:lvl w:ilvl="0" w:tplc="F1EED05E">
      <w:start w:val="1"/>
      <w:numFmt w:val="bullet"/>
      <w:lvlText w:val=""/>
      <w:lvlJc w:val="left"/>
      <w:pPr>
        <w:ind w:left="720" w:hanging="360"/>
      </w:pPr>
      <w:rPr>
        <w:rFonts w:ascii="Wingdings" w:hAnsi="Wingdings" w:hint="default"/>
        <w:sz w:val="24"/>
        <w:szCs w:val="4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1194576"/>
    <w:multiLevelType w:val="hybridMultilevel"/>
    <w:tmpl w:val="8FD681FC"/>
    <w:lvl w:ilvl="0" w:tplc="3C0ABF08">
      <w:start w:val="1"/>
      <w:numFmt w:val="bullet"/>
      <w:lvlText w:val="‒"/>
      <w:lvlJc w:val="left"/>
      <w:pPr>
        <w:ind w:left="360" w:hanging="360"/>
      </w:pPr>
      <w:rPr>
        <w:rFonts w:ascii="Times New Roman" w:hAnsi="Times New Roman" w:cs="Times New Roman" w:hint="default"/>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8C46EF1"/>
    <w:multiLevelType w:val="hybridMultilevel"/>
    <w:tmpl w:val="C786D5CE"/>
    <w:lvl w:ilvl="0" w:tplc="08090003">
      <w:start w:val="1"/>
      <w:numFmt w:val="bullet"/>
      <w:lvlText w:val="o"/>
      <w:lvlJc w:val="left"/>
      <w:pPr>
        <w:ind w:left="2926" w:hanging="360"/>
      </w:pPr>
      <w:rPr>
        <w:rFonts w:ascii="Courier New" w:hAnsi="Courier New" w:cs="Courier New" w:hint="default"/>
      </w:rPr>
    </w:lvl>
    <w:lvl w:ilvl="1" w:tplc="08090003">
      <w:start w:val="1"/>
      <w:numFmt w:val="bullet"/>
      <w:lvlText w:val="o"/>
      <w:lvlJc w:val="left"/>
      <w:pPr>
        <w:ind w:left="3646" w:hanging="360"/>
      </w:pPr>
      <w:rPr>
        <w:rFonts w:ascii="Courier New" w:hAnsi="Courier New" w:cs="Courier New" w:hint="default"/>
      </w:rPr>
    </w:lvl>
    <w:lvl w:ilvl="2" w:tplc="08090005" w:tentative="1">
      <w:start w:val="1"/>
      <w:numFmt w:val="bullet"/>
      <w:lvlText w:val=""/>
      <w:lvlJc w:val="left"/>
      <w:pPr>
        <w:ind w:left="4366" w:hanging="360"/>
      </w:pPr>
      <w:rPr>
        <w:rFonts w:ascii="Wingdings" w:hAnsi="Wingdings" w:hint="default"/>
      </w:rPr>
    </w:lvl>
    <w:lvl w:ilvl="3" w:tplc="08090001" w:tentative="1">
      <w:start w:val="1"/>
      <w:numFmt w:val="bullet"/>
      <w:lvlText w:val=""/>
      <w:lvlJc w:val="left"/>
      <w:pPr>
        <w:ind w:left="5086" w:hanging="360"/>
      </w:pPr>
      <w:rPr>
        <w:rFonts w:ascii="Symbol" w:hAnsi="Symbol" w:hint="default"/>
      </w:rPr>
    </w:lvl>
    <w:lvl w:ilvl="4" w:tplc="08090003" w:tentative="1">
      <w:start w:val="1"/>
      <w:numFmt w:val="bullet"/>
      <w:lvlText w:val="o"/>
      <w:lvlJc w:val="left"/>
      <w:pPr>
        <w:ind w:left="5806" w:hanging="360"/>
      </w:pPr>
      <w:rPr>
        <w:rFonts w:ascii="Courier New" w:hAnsi="Courier New" w:cs="Courier New" w:hint="default"/>
      </w:rPr>
    </w:lvl>
    <w:lvl w:ilvl="5" w:tplc="08090005" w:tentative="1">
      <w:start w:val="1"/>
      <w:numFmt w:val="bullet"/>
      <w:lvlText w:val=""/>
      <w:lvlJc w:val="left"/>
      <w:pPr>
        <w:ind w:left="6526" w:hanging="360"/>
      </w:pPr>
      <w:rPr>
        <w:rFonts w:ascii="Wingdings" w:hAnsi="Wingdings" w:hint="default"/>
      </w:rPr>
    </w:lvl>
    <w:lvl w:ilvl="6" w:tplc="08090001" w:tentative="1">
      <w:start w:val="1"/>
      <w:numFmt w:val="bullet"/>
      <w:lvlText w:val=""/>
      <w:lvlJc w:val="left"/>
      <w:pPr>
        <w:ind w:left="7246" w:hanging="360"/>
      </w:pPr>
      <w:rPr>
        <w:rFonts w:ascii="Symbol" w:hAnsi="Symbol" w:hint="default"/>
      </w:rPr>
    </w:lvl>
    <w:lvl w:ilvl="7" w:tplc="08090003" w:tentative="1">
      <w:start w:val="1"/>
      <w:numFmt w:val="bullet"/>
      <w:lvlText w:val="o"/>
      <w:lvlJc w:val="left"/>
      <w:pPr>
        <w:ind w:left="7966" w:hanging="360"/>
      </w:pPr>
      <w:rPr>
        <w:rFonts w:ascii="Courier New" w:hAnsi="Courier New" w:cs="Courier New" w:hint="default"/>
      </w:rPr>
    </w:lvl>
    <w:lvl w:ilvl="8" w:tplc="08090005" w:tentative="1">
      <w:start w:val="1"/>
      <w:numFmt w:val="bullet"/>
      <w:lvlText w:val=""/>
      <w:lvlJc w:val="left"/>
      <w:pPr>
        <w:ind w:left="8686" w:hanging="360"/>
      </w:pPr>
      <w:rPr>
        <w:rFonts w:ascii="Wingdings" w:hAnsi="Wingdings" w:hint="default"/>
      </w:rPr>
    </w:lvl>
  </w:abstractNum>
  <w:abstractNum w:abstractNumId="15" w15:restartNumberingAfterBreak="0">
    <w:nsid w:val="7A5B4EB0"/>
    <w:multiLevelType w:val="multilevel"/>
    <w:tmpl w:val="8D1E552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pStyle w:val="Header3"/>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4958ED"/>
    <w:multiLevelType w:val="hybridMultilevel"/>
    <w:tmpl w:val="ABB60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51466624">
    <w:abstractNumId w:val="8"/>
  </w:num>
  <w:num w:numId="2" w16cid:durableId="1009721798">
    <w:abstractNumId w:val="14"/>
  </w:num>
  <w:num w:numId="3" w16cid:durableId="1787459509">
    <w:abstractNumId w:val="10"/>
  </w:num>
  <w:num w:numId="4" w16cid:durableId="310405088">
    <w:abstractNumId w:val="0"/>
  </w:num>
  <w:num w:numId="5" w16cid:durableId="254286985">
    <w:abstractNumId w:val="5"/>
  </w:num>
  <w:num w:numId="6" w16cid:durableId="609053049">
    <w:abstractNumId w:val="7"/>
  </w:num>
  <w:num w:numId="7" w16cid:durableId="121969575">
    <w:abstractNumId w:val="3"/>
  </w:num>
  <w:num w:numId="8" w16cid:durableId="104160987">
    <w:abstractNumId w:val="1"/>
  </w:num>
  <w:num w:numId="9" w16cid:durableId="750354072">
    <w:abstractNumId w:val="15"/>
  </w:num>
  <w:num w:numId="10" w16cid:durableId="1288778783">
    <w:abstractNumId w:val="12"/>
  </w:num>
  <w:num w:numId="11" w16cid:durableId="1581865158">
    <w:abstractNumId w:val="9"/>
  </w:num>
  <w:num w:numId="12" w16cid:durableId="304313667">
    <w:abstractNumId w:val="16"/>
  </w:num>
  <w:num w:numId="13" w16cid:durableId="2110730468">
    <w:abstractNumId w:val="4"/>
  </w:num>
  <w:num w:numId="14" w16cid:durableId="1811900968">
    <w:abstractNumId w:val="6"/>
  </w:num>
  <w:num w:numId="15" w16cid:durableId="1303079776">
    <w:abstractNumId w:val="13"/>
  </w:num>
  <w:num w:numId="16" w16cid:durableId="1341543633">
    <w:abstractNumId w:val="2"/>
  </w:num>
  <w:num w:numId="17" w16cid:durableId="97914188">
    <w:abstractNumId w:val="11"/>
  </w:num>
  <w:num w:numId="18" w16cid:durableId="313069612">
    <w:abstractNumId w:val="10"/>
  </w:num>
  <w:num w:numId="19" w16cid:durableId="12239536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NZ"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DA"/>
    <w:rsid w:val="00000B9E"/>
    <w:rsid w:val="00001671"/>
    <w:rsid w:val="00001A37"/>
    <w:rsid w:val="000026EC"/>
    <w:rsid w:val="000102E8"/>
    <w:rsid w:val="00010D81"/>
    <w:rsid w:val="00010E65"/>
    <w:rsid w:val="0001271B"/>
    <w:rsid w:val="0001338F"/>
    <w:rsid w:val="000146EC"/>
    <w:rsid w:val="00014F63"/>
    <w:rsid w:val="000156A8"/>
    <w:rsid w:val="00015830"/>
    <w:rsid w:val="0002019C"/>
    <w:rsid w:val="0002130F"/>
    <w:rsid w:val="000216FF"/>
    <w:rsid w:val="00021E84"/>
    <w:rsid w:val="00022BE6"/>
    <w:rsid w:val="00025210"/>
    <w:rsid w:val="00025BC2"/>
    <w:rsid w:val="00027FBB"/>
    <w:rsid w:val="000329E7"/>
    <w:rsid w:val="00032C0D"/>
    <w:rsid w:val="0003595B"/>
    <w:rsid w:val="000362E5"/>
    <w:rsid w:val="00036385"/>
    <w:rsid w:val="0004337E"/>
    <w:rsid w:val="00046D32"/>
    <w:rsid w:val="00050034"/>
    <w:rsid w:val="00051E1E"/>
    <w:rsid w:val="00053CE4"/>
    <w:rsid w:val="00054C56"/>
    <w:rsid w:val="0006008F"/>
    <w:rsid w:val="000606C1"/>
    <w:rsid w:val="000614C7"/>
    <w:rsid w:val="00061CDC"/>
    <w:rsid w:val="0006378E"/>
    <w:rsid w:val="00063DF8"/>
    <w:rsid w:val="000648F2"/>
    <w:rsid w:val="00064FF2"/>
    <w:rsid w:val="00065832"/>
    <w:rsid w:val="00066DBC"/>
    <w:rsid w:val="000706A3"/>
    <w:rsid w:val="000713CF"/>
    <w:rsid w:val="00072184"/>
    <w:rsid w:val="000737DC"/>
    <w:rsid w:val="0007408B"/>
    <w:rsid w:val="00074572"/>
    <w:rsid w:val="0007469F"/>
    <w:rsid w:val="0007477C"/>
    <w:rsid w:val="000748C2"/>
    <w:rsid w:val="000749C0"/>
    <w:rsid w:val="00075C14"/>
    <w:rsid w:val="00080D3B"/>
    <w:rsid w:val="000810E2"/>
    <w:rsid w:val="000828D0"/>
    <w:rsid w:val="00083662"/>
    <w:rsid w:val="0008379C"/>
    <w:rsid w:val="000877F1"/>
    <w:rsid w:val="000905F1"/>
    <w:rsid w:val="000920E8"/>
    <w:rsid w:val="00093894"/>
    <w:rsid w:val="00093AB6"/>
    <w:rsid w:val="00093DA2"/>
    <w:rsid w:val="0009444F"/>
    <w:rsid w:val="000946E2"/>
    <w:rsid w:val="00094B87"/>
    <w:rsid w:val="000960D0"/>
    <w:rsid w:val="0009714B"/>
    <w:rsid w:val="000A0144"/>
    <w:rsid w:val="000A05AB"/>
    <w:rsid w:val="000A1F8C"/>
    <w:rsid w:val="000A37E9"/>
    <w:rsid w:val="000A5418"/>
    <w:rsid w:val="000A6A03"/>
    <w:rsid w:val="000A716F"/>
    <w:rsid w:val="000A754D"/>
    <w:rsid w:val="000A7884"/>
    <w:rsid w:val="000A7D58"/>
    <w:rsid w:val="000B1588"/>
    <w:rsid w:val="000B1AFB"/>
    <w:rsid w:val="000B1E8C"/>
    <w:rsid w:val="000B595C"/>
    <w:rsid w:val="000B5D41"/>
    <w:rsid w:val="000B7893"/>
    <w:rsid w:val="000C05FE"/>
    <w:rsid w:val="000C1FD3"/>
    <w:rsid w:val="000C3ABA"/>
    <w:rsid w:val="000C62D4"/>
    <w:rsid w:val="000C68CE"/>
    <w:rsid w:val="000C6FD0"/>
    <w:rsid w:val="000C7DA0"/>
    <w:rsid w:val="000D1387"/>
    <w:rsid w:val="000D27B8"/>
    <w:rsid w:val="000D2A9C"/>
    <w:rsid w:val="000D2D47"/>
    <w:rsid w:val="000D311F"/>
    <w:rsid w:val="000D3143"/>
    <w:rsid w:val="000D33C0"/>
    <w:rsid w:val="000D6D20"/>
    <w:rsid w:val="000D7C75"/>
    <w:rsid w:val="000E26E0"/>
    <w:rsid w:val="000E2DA1"/>
    <w:rsid w:val="000E358F"/>
    <w:rsid w:val="000E59EA"/>
    <w:rsid w:val="000E610A"/>
    <w:rsid w:val="000F0159"/>
    <w:rsid w:val="000F2066"/>
    <w:rsid w:val="000F3539"/>
    <w:rsid w:val="000F4228"/>
    <w:rsid w:val="000F517C"/>
    <w:rsid w:val="000F5540"/>
    <w:rsid w:val="000F5AA8"/>
    <w:rsid w:val="000F7463"/>
    <w:rsid w:val="000F7607"/>
    <w:rsid w:val="001003B5"/>
    <w:rsid w:val="00101A73"/>
    <w:rsid w:val="0010691A"/>
    <w:rsid w:val="00106B56"/>
    <w:rsid w:val="001117FF"/>
    <w:rsid w:val="00111CD7"/>
    <w:rsid w:val="001129CE"/>
    <w:rsid w:val="00113145"/>
    <w:rsid w:val="0011410F"/>
    <w:rsid w:val="00114E12"/>
    <w:rsid w:val="001162EC"/>
    <w:rsid w:val="00120ADD"/>
    <w:rsid w:val="00122653"/>
    <w:rsid w:val="00124F06"/>
    <w:rsid w:val="00125217"/>
    <w:rsid w:val="00130A94"/>
    <w:rsid w:val="00131FCA"/>
    <w:rsid w:val="001329B8"/>
    <w:rsid w:val="001338C2"/>
    <w:rsid w:val="00133947"/>
    <w:rsid w:val="00134718"/>
    <w:rsid w:val="00134CC7"/>
    <w:rsid w:val="00135C32"/>
    <w:rsid w:val="00137B9E"/>
    <w:rsid w:val="00141062"/>
    <w:rsid w:val="0014243C"/>
    <w:rsid w:val="00142C03"/>
    <w:rsid w:val="001430E0"/>
    <w:rsid w:val="001433F1"/>
    <w:rsid w:val="0014369E"/>
    <w:rsid w:val="0014377F"/>
    <w:rsid w:val="00144854"/>
    <w:rsid w:val="00147CFA"/>
    <w:rsid w:val="0015265D"/>
    <w:rsid w:val="00152818"/>
    <w:rsid w:val="001534F3"/>
    <w:rsid w:val="00153782"/>
    <w:rsid w:val="001539DD"/>
    <w:rsid w:val="00156BCF"/>
    <w:rsid w:val="001579F9"/>
    <w:rsid w:val="001618C0"/>
    <w:rsid w:val="001621D9"/>
    <w:rsid w:val="00163DF7"/>
    <w:rsid w:val="00164353"/>
    <w:rsid w:val="001663E5"/>
    <w:rsid w:val="00170A83"/>
    <w:rsid w:val="0017204F"/>
    <w:rsid w:val="001741AB"/>
    <w:rsid w:val="0017567E"/>
    <w:rsid w:val="00175BD2"/>
    <w:rsid w:val="00175E8A"/>
    <w:rsid w:val="0017692E"/>
    <w:rsid w:val="001777DA"/>
    <w:rsid w:val="0018114D"/>
    <w:rsid w:val="0018173F"/>
    <w:rsid w:val="00182CB8"/>
    <w:rsid w:val="001832C2"/>
    <w:rsid w:val="00184B10"/>
    <w:rsid w:val="001852E1"/>
    <w:rsid w:val="0019002D"/>
    <w:rsid w:val="001913C6"/>
    <w:rsid w:val="001923E8"/>
    <w:rsid w:val="00192B96"/>
    <w:rsid w:val="00193427"/>
    <w:rsid w:val="00195153"/>
    <w:rsid w:val="001964D0"/>
    <w:rsid w:val="00196568"/>
    <w:rsid w:val="00196A56"/>
    <w:rsid w:val="00196E77"/>
    <w:rsid w:val="00197B92"/>
    <w:rsid w:val="001A0F83"/>
    <w:rsid w:val="001A125C"/>
    <w:rsid w:val="001A2F16"/>
    <w:rsid w:val="001A34FF"/>
    <w:rsid w:val="001A36B3"/>
    <w:rsid w:val="001A4EFF"/>
    <w:rsid w:val="001B0501"/>
    <w:rsid w:val="001B1680"/>
    <w:rsid w:val="001B18C2"/>
    <w:rsid w:val="001B2E80"/>
    <w:rsid w:val="001B35F3"/>
    <w:rsid w:val="001B63A6"/>
    <w:rsid w:val="001B76D5"/>
    <w:rsid w:val="001B794F"/>
    <w:rsid w:val="001B7DE6"/>
    <w:rsid w:val="001C1611"/>
    <w:rsid w:val="001C278A"/>
    <w:rsid w:val="001C31DB"/>
    <w:rsid w:val="001C37F0"/>
    <w:rsid w:val="001C61B7"/>
    <w:rsid w:val="001D5074"/>
    <w:rsid w:val="001D5D7E"/>
    <w:rsid w:val="001E1233"/>
    <w:rsid w:val="001E3C80"/>
    <w:rsid w:val="001E3D3C"/>
    <w:rsid w:val="001E473F"/>
    <w:rsid w:val="001E4CFB"/>
    <w:rsid w:val="001E5028"/>
    <w:rsid w:val="001E691D"/>
    <w:rsid w:val="001E695B"/>
    <w:rsid w:val="001E78C4"/>
    <w:rsid w:val="001E7DDB"/>
    <w:rsid w:val="001F2A11"/>
    <w:rsid w:val="001F4F21"/>
    <w:rsid w:val="001F5947"/>
    <w:rsid w:val="001F5D9F"/>
    <w:rsid w:val="001F697E"/>
    <w:rsid w:val="001F7789"/>
    <w:rsid w:val="001F7F80"/>
    <w:rsid w:val="002001E1"/>
    <w:rsid w:val="00201479"/>
    <w:rsid w:val="00201CB5"/>
    <w:rsid w:val="00202FED"/>
    <w:rsid w:val="00203304"/>
    <w:rsid w:val="00206339"/>
    <w:rsid w:val="00211AB9"/>
    <w:rsid w:val="00212E20"/>
    <w:rsid w:val="002135B0"/>
    <w:rsid w:val="00213918"/>
    <w:rsid w:val="0021588B"/>
    <w:rsid w:val="00220F0E"/>
    <w:rsid w:val="002216AC"/>
    <w:rsid w:val="002219FD"/>
    <w:rsid w:val="00226605"/>
    <w:rsid w:val="00226756"/>
    <w:rsid w:val="0023010A"/>
    <w:rsid w:val="00230738"/>
    <w:rsid w:val="00230B04"/>
    <w:rsid w:val="00232911"/>
    <w:rsid w:val="00234735"/>
    <w:rsid w:val="00234BB5"/>
    <w:rsid w:val="002362EE"/>
    <w:rsid w:val="00241BCF"/>
    <w:rsid w:val="00245ADC"/>
    <w:rsid w:val="00251ED5"/>
    <w:rsid w:val="00253363"/>
    <w:rsid w:val="00254A1B"/>
    <w:rsid w:val="00255A71"/>
    <w:rsid w:val="002609B3"/>
    <w:rsid w:val="00260E5E"/>
    <w:rsid w:val="00260F08"/>
    <w:rsid w:val="00261136"/>
    <w:rsid w:val="0026444E"/>
    <w:rsid w:val="00266F20"/>
    <w:rsid w:val="0026736F"/>
    <w:rsid w:val="0027001C"/>
    <w:rsid w:val="00273F83"/>
    <w:rsid w:val="00275ED2"/>
    <w:rsid w:val="002765B6"/>
    <w:rsid w:val="00276B59"/>
    <w:rsid w:val="00281AB2"/>
    <w:rsid w:val="002837BD"/>
    <w:rsid w:val="0028454D"/>
    <w:rsid w:val="00286912"/>
    <w:rsid w:val="00286DE6"/>
    <w:rsid w:val="00287A2A"/>
    <w:rsid w:val="00291C9E"/>
    <w:rsid w:val="002926D4"/>
    <w:rsid w:val="0029402D"/>
    <w:rsid w:val="002957D9"/>
    <w:rsid w:val="0029724F"/>
    <w:rsid w:val="002A0281"/>
    <w:rsid w:val="002A3085"/>
    <w:rsid w:val="002A56B3"/>
    <w:rsid w:val="002A7740"/>
    <w:rsid w:val="002B243A"/>
    <w:rsid w:val="002B341C"/>
    <w:rsid w:val="002B35BC"/>
    <w:rsid w:val="002B38E7"/>
    <w:rsid w:val="002B433B"/>
    <w:rsid w:val="002B7342"/>
    <w:rsid w:val="002B7928"/>
    <w:rsid w:val="002C07DA"/>
    <w:rsid w:val="002C3FE6"/>
    <w:rsid w:val="002C7EA9"/>
    <w:rsid w:val="002D0A1D"/>
    <w:rsid w:val="002D1629"/>
    <w:rsid w:val="002D28FA"/>
    <w:rsid w:val="002D299B"/>
    <w:rsid w:val="002D4D73"/>
    <w:rsid w:val="002D58AF"/>
    <w:rsid w:val="002E156A"/>
    <w:rsid w:val="002E196B"/>
    <w:rsid w:val="002E3435"/>
    <w:rsid w:val="002E3F04"/>
    <w:rsid w:val="002F0BBC"/>
    <w:rsid w:val="002F2F9A"/>
    <w:rsid w:val="002F34B2"/>
    <w:rsid w:val="002F5302"/>
    <w:rsid w:val="002F5B53"/>
    <w:rsid w:val="002F63ED"/>
    <w:rsid w:val="002F79BC"/>
    <w:rsid w:val="002F7C10"/>
    <w:rsid w:val="00302B5A"/>
    <w:rsid w:val="00304F9E"/>
    <w:rsid w:val="00307F05"/>
    <w:rsid w:val="003103D4"/>
    <w:rsid w:val="003121E7"/>
    <w:rsid w:val="003131A3"/>
    <w:rsid w:val="00313A06"/>
    <w:rsid w:val="003158E0"/>
    <w:rsid w:val="003204EB"/>
    <w:rsid w:val="00323CC7"/>
    <w:rsid w:val="00323EF0"/>
    <w:rsid w:val="00324586"/>
    <w:rsid w:val="003262DE"/>
    <w:rsid w:val="0033159A"/>
    <w:rsid w:val="00331E3D"/>
    <w:rsid w:val="003324C5"/>
    <w:rsid w:val="00332AF7"/>
    <w:rsid w:val="0033539E"/>
    <w:rsid w:val="00336396"/>
    <w:rsid w:val="00336A0D"/>
    <w:rsid w:val="0034119A"/>
    <w:rsid w:val="00341DC1"/>
    <w:rsid w:val="003424AF"/>
    <w:rsid w:val="00342F20"/>
    <w:rsid w:val="00343067"/>
    <w:rsid w:val="003436BD"/>
    <w:rsid w:val="00345B52"/>
    <w:rsid w:val="00345F66"/>
    <w:rsid w:val="0034790D"/>
    <w:rsid w:val="00350EC2"/>
    <w:rsid w:val="003540E0"/>
    <w:rsid w:val="0035471B"/>
    <w:rsid w:val="003548C2"/>
    <w:rsid w:val="00354C34"/>
    <w:rsid w:val="00355805"/>
    <w:rsid w:val="003606E1"/>
    <w:rsid w:val="0036206A"/>
    <w:rsid w:val="003635A0"/>
    <w:rsid w:val="003656AC"/>
    <w:rsid w:val="00366842"/>
    <w:rsid w:val="00371364"/>
    <w:rsid w:val="00371937"/>
    <w:rsid w:val="003727C6"/>
    <w:rsid w:val="0037421D"/>
    <w:rsid w:val="0037436E"/>
    <w:rsid w:val="00376565"/>
    <w:rsid w:val="003809C7"/>
    <w:rsid w:val="003829E0"/>
    <w:rsid w:val="003841F1"/>
    <w:rsid w:val="00384F49"/>
    <w:rsid w:val="003867E7"/>
    <w:rsid w:val="00386F07"/>
    <w:rsid w:val="00386FE8"/>
    <w:rsid w:val="0039232F"/>
    <w:rsid w:val="003953F3"/>
    <w:rsid w:val="003963CA"/>
    <w:rsid w:val="003A3A0D"/>
    <w:rsid w:val="003A3A90"/>
    <w:rsid w:val="003A3D1C"/>
    <w:rsid w:val="003A3DD1"/>
    <w:rsid w:val="003A3F87"/>
    <w:rsid w:val="003A42AC"/>
    <w:rsid w:val="003A7052"/>
    <w:rsid w:val="003A7CC6"/>
    <w:rsid w:val="003B03B2"/>
    <w:rsid w:val="003B28D5"/>
    <w:rsid w:val="003B330A"/>
    <w:rsid w:val="003B3991"/>
    <w:rsid w:val="003B5979"/>
    <w:rsid w:val="003B5F51"/>
    <w:rsid w:val="003B6263"/>
    <w:rsid w:val="003B62A3"/>
    <w:rsid w:val="003B63E6"/>
    <w:rsid w:val="003B6428"/>
    <w:rsid w:val="003B6FA6"/>
    <w:rsid w:val="003B7845"/>
    <w:rsid w:val="003B7D58"/>
    <w:rsid w:val="003C0859"/>
    <w:rsid w:val="003C1D8C"/>
    <w:rsid w:val="003C2A7B"/>
    <w:rsid w:val="003C3552"/>
    <w:rsid w:val="003C4F23"/>
    <w:rsid w:val="003C5AA8"/>
    <w:rsid w:val="003C64A7"/>
    <w:rsid w:val="003C7974"/>
    <w:rsid w:val="003C7978"/>
    <w:rsid w:val="003C7C96"/>
    <w:rsid w:val="003D0444"/>
    <w:rsid w:val="003D25E1"/>
    <w:rsid w:val="003D3FDA"/>
    <w:rsid w:val="003D42BB"/>
    <w:rsid w:val="003D4555"/>
    <w:rsid w:val="003D45D0"/>
    <w:rsid w:val="003D5555"/>
    <w:rsid w:val="003D58BB"/>
    <w:rsid w:val="003D59FB"/>
    <w:rsid w:val="003D641E"/>
    <w:rsid w:val="003D7F00"/>
    <w:rsid w:val="003D7FE4"/>
    <w:rsid w:val="003E16D5"/>
    <w:rsid w:val="003E1A34"/>
    <w:rsid w:val="003E1A4E"/>
    <w:rsid w:val="003E23B4"/>
    <w:rsid w:val="003E3ED9"/>
    <w:rsid w:val="003E44D4"/>
    <w:rsid w:val="003E454E"/>
    <w:rsid w:val="003E5991"/>
    <w:rsid w:val="003E7137"/>
    <w:rsid w:val="003F2313"/>
    <w:rsid w:val="003F27CF"/>
    <w:rsid w:val="003F35C5"/>
    <w:rsid w:val="003F3DDB"/>
    <w:rsid w:val="003F53B4"/>
    <w:rsid w:val="003F6C84"/>
    <w:rsid w:val="003F6D48"/>
    <w:rsid w:val="003F7E14"/>
    <w:rsid w:val="004000E7"/>
    <w:rsid w:val="00400314"/>
    <w:rsid w:val="00400530"/>
    <w:rsid w:val="00403CE4"/>
    <w:rsid w:val="0040683F"/>
    <w:rsid w:val="00407193"/>
    <w:rsid w:val="004074EA"/>
    <w:rsid w:val="0041325D"/>
    <w:rsid w:val="00415D33"/>
    <w:rsid w:val="004204D1"/>
    <w:rsid w:val="00420822"/>
    <w:rsid w:val="0042126E"/>
    <w:rsid w:val="00422266"/>
    <w:rsid w:val="0042297D"/>
    <w:rsid w:val="00422A89"/>
    <w:rsid w:val="00422CFA"/>
    <w:rsid w:val="00425190"/>
    <w:rsid w:val="00427A8F"/>
    <w:rsid w:val="004300E7"/>
    <w:rsid w:val="004301CD"/>
    <w:rsid w:val="0043063F"/>
    <w:rsid w:val="004323BB"/>
    <w:rsid w:val="004335F8"/>
    <w:rsid w:val="00433925"/>
    <w:rsid w:val="00437103"/>
    <w:rsid w:val="00437292"/>
    <w:rsid w:val="00437D17"/>
    <w:rsid w:val="004404C0"/>
    <w:rsid w:val="00440BEE"/>
    <w:rsid w:val="004435D5"/>
    <w:rsid w:val="00443F91"/>
    <w:rsid w:val="00444170"/>
    <w:rsid w:val="00444D83"/>
    <w:rsid w:val="004451E7"/>
    <w:rsid w:val="00446B68"/>
    <w:rsid w:val="004510C3"/>
    <w:rsid w:val="00452AEC"/>
    <w:rsid w:val="0045458F"/>
    <w:rsid w:val="00455208"/>
    <w:rsid w:val="00455FD4"/>
    <w:rsid w:val="00456C80"/>
    <w:rsid w:val="004633B4"/>
    <w:rsid w:val="00464B99"/>
    <w:rsid w:val="004679B5"/>
    <w:rsid w:val="00470AC3"/>
    <w:rsid w:val="00473166"/>
    <w:rsid w:val="004770E2"/>
    <w:rsid w:val="00481A31"/>
    <w:rsid w:val="00482F84"/>
    <w:rsid w:val="00483317"/>
    <w:rsid w:val="0048519D"/>
    <w:rsid w:val="004854EE"/>
    <w:rsid w:val="004917F3"/>
    <w:rsid w:val="00491C07"/>
    <w:rsid w:val="004922E0"/>
    <w:rsid w:val="00494864"/>
    <w:rsid w:val="004A302F"/>
    <w:rsid w:val="004A37FE"/>
    <w:rsid w:val="004A4DE4"/>
    <w:rsid w:val="004A55DB"/>
    <w:rsid w:val="004A5CC4"/>
    <w:rsid w:val="004A6667"/>
    <w:rsid w:val="004A7076"/>
    <w:rsid w:val="004B0505"/>
    <w:rsid w:val="004B0597"/>
    <w:rsid w:val="004B0BB7"/>
    <w:rsid w:val="004B0C78"/>
    <w:rsid w:val="004B3553"/>
    <w:rsid w:val="004B3C3E"/>
    <w:rsid w:val="004B6E22"/>
    <w:rsid w:val="004B72FD"/>
    <w:rsid w:val="004B73D3"/>
    <w:rsid w:val="004C07CE"/>
    <w:rsid w:val="004C2555"/>
    <w:rsid w:val="004C25F7"/>
    <w:rsid w:val="004C44AE"/>
    <w:rsid w:val="004C487C"/>
    <w:rsid w:val="004C4E5C"/>
    <w:rsid w:val="004D05ED"/>
    <w:rsid w:val="004D2C61"/>
    <w:rsid w:val="004D7516"/>
    <w:rsid w:val="004E1BE1"/>
    <w:rsid w:val="004E5026"/>
    <w:rsid w:val="004E60C1"/>
    <w:rsid w:val="004E6FD3"/>
    <w:rsid w:val="004F023B"/>
    <w:rsid w:val="004F04C7"/>
    <w:rsid w:val="004F58D7"/>
    <w:rsid w:val="004F733C"/>
    <w:rsid w:val="004F7DF2"/>
    <w:rsid w:val="00501D15"/>
    <w:rsid w:val="00501DC3"/>
    <w:rsid w:val="00502C81"/>
    <w:rsid w:val="00503495"/>
    <w:rsid w:val="005043C6"/>
    <w:rsid w:val="0050493A"/>
    <w:rsid w:val="00511D4C"/>
    <w:rsid w:val="00511F25"/>
    <w:rsid w:val="005135DA"/>
    <w:rsid w:val="0051364F"/>
    <w:rsid w:val="005145FB"/>
    <w:rsid w:val="00515050"/>
    <w:rsid w:val="005167CC"/>
    <w:rsid w:val="0051686D"/>
    <w:rsid w:val="005201CA"/>
    <w:rsid w:val="005213DC"/>
    <w:rsid w:val="00521BF0"/>
    <w:rsid w:val="00522F18"/>
    <w:rsid w:val="0052321E"/>
    <w:rsid w:val="00523967"/>
    <w:rsid w:val="00523A29"/>
    <w:rsid w:val="005243D3"/>
    <w:rsid w:val="005265EB"/>
    <w:rsid w:val="00526BC8"/>
    <w:rsid w:val="00527028"/>
    <w:rsid w:val="00527218"/>
    <w:rsid w:val="00527360"/>
    <w:rsid w:val="00530085"/>
    <w:rsid w:val="00530E8C"/>
    <w:rsid w:val="00531260"/>
    <w:rsid w:val="005317E0"/>
    <w:rsid w:val="00531C81"/>
    <w:rsid w:val="005345F7"/>
    <w:rsid w:val="00535C61"/>
    <w:rsid w:val="00535D8E"/>
    <w:rsid w:val="00536744"/>
    <w:rsid w:val="00541F31"/>
    <w:rsid w:val="005442A4"/>
    <w:rsid w:val="00545933"/>
    <w:rsid w:val="0054610B"/>
    <w:rsid w:val="0054711E"/>
    <w:rsid w:val="005474ED"/>
    <w:rsid w:val="00551BB1"/>
    <w:rsid w:val="00551E46"/>
    <w:rsid w:val="00551FE4"/>
    <w:rsid w:val="00552822"/>
    <w:rsid w:val="00552D30"/>
    <w:rsid w:val="0055339A"/>
    <w:rsid w:val="005549C9"/>
    <w:rsid w:val="005550DE"/>
    <w:rsid w:val="00556937"/>
    <w:rsid w:val="00557544"/>
    <w:rsid w:val="00557B3D"/>
    <w:rsid w:val="005606F6"/>
    <w:rsid w:val="005614DC"/>
    <w:rsid w:val="005621F8"/>
    <w:rsid w:val="00562E48"/>
    <w:rsid w:val="00563D4D"/>
    <w:rsid w:val="00564629"/>
    <w:rsid w:val="00565109"/>
    <w:rsid w:val="00566B8A"/>
    <w:rsid w:val="0056763F"/>
    <w:rsid w:val="0057101E"/>
    <w:rsid w:val="005728C3"/>
    <w:rsid w:val="0057386E"/>
    <w:rsid w:val="00575CDC"/>
    <w:rsid w:val="00575DE9"/>
    <w:rsid w:val="00576E1A"/>
    <w:rsid w:val="00577C0A"/>
    <w:rsid w:val="00577DF2"/>
    <w:rsid w:val="00580FA7"/>
    <w:rsid w:val="0058132A"/>
    <w:rsid w:val="0058262C"/>
    <w:rsid w:val="00582744"/>
    <w:rsid w:val="00585382"/>
    <w:rsid w:val="00587875"/>
    <w:rsid w:val="00590107"/>
    <w:rsid w:val="00590C0F"/>
    <w:rsid w:val="00591D7A"/>
    <w:rsid w:val="0059329B"/>
    <w:rsid w:val="00594893"/>
    <w:rsid w:val="005949DD"/>
    <w:rsid w:val="00594A78"/>
    <w:rsid w:val="0059794A"/>
    <w:rsid w:val="005A1AB8"/>
    <w:rsid w:val="005A1C83"/>
    <w:rsid w:val="005B154E"/>
    <w:rsid w:val="005B1E77"/>
    <w:rsid w:val="005B244E"/>
    <w:rsid w:val="005B2BBC"/>
    <w:rsid w:val="005B2DFC"/>
    <w:rsid w:val="005B4EEB"/>
    <w:rsid w:val="005B4F68"/>
    <w:rsid w:val="005C103F"/>
    <w:rsid w:val="005C1E21"/>
    <w:rsid w:val="005C251D"/>
    <w:rsid w:val="005C322A"/>
    <w:rsid w:val="005C48B9"/>
    <w:rsid w:val="005C5EB6"/>
    <w:rsid w:val="005C67DA"/>
    <w:rsid w:val="005D0481"/>
    <w:rsid w:val="005D344B"/>
    <w:rsid w:val="005D3914"/>
    <w:rsid w:val="005D396D"/>
    <w:rsid w:val="005D5AD2"/>
    <w:rsid w:val="005D6523"/>
    <w:rsid w:val="005D6B2F"/>
    <w:rsid w:val="005D703B"/>
    <w:rsid w:val="005E009D"/>
    <w:rsid w:val="005E3896"/>
    <w:rsid w:val="005E3E30"/>
    <w:rsid w:val="005E543A"/>
    <w:rsid w:val="005E662F"/>
    <w:rsid w:val="005F0474"/>
    <w:rsid w:val="005F0D0B"/>
    <w:rsid w:val="005F62B2"/>
    <w:rsid w:val="005F64B9"/>
    <w:rsid w:val="005F66D7"/>
    <w:rsid w:val="005F6A35"/>
    <w:rsid w:val="00600BED"/>
    <w:rsid w:val="00605CB7"/>
    <w:rsid w:val="0060745F"/>
    <w:rsid w:val="00607C79"/>
    <w:rsid w:val="00607E2B"/>
    <w:rsid w:val="00610E80"/>
    <w:rsid w:val="0061144B"/>
    <w:rsid w:val="00611DDF"/>
    <w:rsid w:val="00611E02"/>
    <w:rsid w:val="006139D6"/>
    <w:rsid w:val="006149AB"/>
    <w:rsid w:val="00614F79"/>
    <w:rsid w:val="00616A93"/>
    <w:rsid w:val="00617962"/>
    <w:rsid w:val="006179D8"/>
    <w:rsid w:val="00617E70"/>
    <w:rsid w:val="00620883"/>
    <w:rsid w:val="0062180A"/>
    <w:rsid w:val="0062185A"/>
    <w:rsid w:val="00621D15"/>
    <w:rsid w:val="00623CE1"/>
    <w:rsid w:val="006248EE"/>
    <w:rsid w:val="006268BB"/>
    <w:rsid w:val="006268D6"/>
    <w:rsid w:val="006303C9"/>
    <w:rsid w:val="0063062B"/>
    <w:rsid w:val="006348EF"/>
    <w:rsid w:val="00635513"/>
    <w:rsid w:val="00635A68"/>
    <w:rsid w:val="00636BAD"/>
    <w:rsid w:val="006401E0"/>
    <w:rsid w:val="006477D6"/>
    <w:rsid w:val="0065024F"/>
    <w:rsid w:val="006530E8"/>
    <w:rsid w:val="00653EC8"/>
    <w:rsid w:val="00654A57"/>
    <w:rsid w:val="00654A8B"/>
    <w:rsid w:val="00654F93"/>
    <w:rsid w:val="006634C8"/>
    <w:rsid w:val="0066388B"/>
    <w:rsid w:val="006640FF"/>
    <w:rsid w:val="00664831"/>
    <w:rsid w:val="0066488C"/>
    <w:rsid w:val="00665067"/>
    <w:rsid w:val="00667229"/>
    <w:rsid w:val="00667B24"/>
    <w:rsid w:val="006718B1"/>
    <w:rsid w:val="00673402"/>
    <w:rsid w:val="00674FE3"/>
    <w:rsid w:val="00675C31"/>
    <w:rsid w:val="006769C2"/>
    <w:rsid w:val="00677ED2"/>
    <w:rsid w:val="0068058E"/>
    <w:rsid w:val="0068294F"/>
    <w:rsid w:val="00682BE5"/>
    <w:rsid w:val="00682F18"/>
    <w:rsid w:val="006843DA"/>
    <w:rsid w:val="0068531C"/>
    <w:rsid w:val="0068722B"/>
    <w:rsid w:val="00687482"/>
    <w:rsid w:val="00687C51"/>
    <w:rsid w:val="006903F9"/>
    <w:rsid w:val="00690DD2"/>
    <w:rsid w:val="00690FED"/>
    <w:rsid w:val="0069138B"/>
    <w:rsid w:val="00691AF4"/>
    <w:rsid w:val="00691FE6"/>
    <w:rsid w:val="00692058"/>
    <w:rsid w:val="006939A5"/>
    <w:rsid w:val="006947DD"/>
    <w:rsid w:val="006950FB"/>
    <w:rsid w:val="00696254"/>
    <w:rsid w:val="00696AAF"/>
    <w:rsid w:val="006A15A4"/>
    <w:rsid w:val="006A216E"/>
    <w:rsid w:val="006A656D"/>
    <w:rsid w:val="006A693A"/>
    <w:rsid w:val="006A6FCD"/>
    <w:rsid w:val="006A6FE8"/>
    <w:rsid w:val="006A72D6"/>
    <w:rsid w:val="006A77E3"/>
    <w:rsid w:val="006B0D93"/>
    <w:rsid w:val="006B132A"/>
    <w:rsid w:val="006B3804"/>
    <w:rsid w:val="006B3C03"/>
    <w:rsid w:val="006B60F4"/>
    <w:rsid w:val="006B6778"/>
    <w:rsid w:val="006C0160"/>
    <w:rsid w:val="006C0710"/>
    <w:rsid w:val="006C244D"/>
    <w:rsid w:val="006C2D39"/>
    <w:rsid w:val="006C34CD"/>
    <w:rsid w:val="006C464B"/>
    <w:rsid w:val="006C55DB"/>
    <w:rsid w:val="006C573E"/>
    <w:rsid w:val="006C6DD0"/>
    <w:rsid w:val="006D2904"/>
    <w:rsid w:val="006D2A57"/>
    <w:rsid w:val="006D2E8F"/>
    <w:rsid w:val="006D46AA"/>
    <w:rsid w:val="006E12FC"/>
    <w:rsid w:val="006E16BE"/>
    <w:rsid w:val="006E3984"/>
    <w:rsid w:val="006E4FAF"/>
    <w:rsid w:val="006E50E4"/>
    <w:rsid w:val="006E63F9"/>
    <w:rsid w:val="006F02F8"/>
    <w:rsid w:val="006F0483"/>
    <w:rsid w:val="006F0C52"/>
    <w:rsid w:val="006F375E"/>
    <w:rsid w:val="006F3E37"/>
    <w:rsid w:val="006F547A"/>
    <w:rsid w:val="006F6581"/>
    <w:rsid w:val="006F69CA"/>
    <w:rsid w:val="006F7CD7"/>
    <w:rsid w:val="00701977"/>
    <w:rsid w:val="00705ADA"/>
    <w:rsid w:val="00705E61"/>
    <w:rsid w:val="00707B72"/>
    <w:rsid w:val="00707DD7"/>
    <w:rsid w:val="0071004E"/>
    <w:rsid w:val="00712451"/>
    <w:rsid w:val="00715290"/>
    <w:rsid w:val="00717CFA"/>
    <w:rsid w:val="00717ED4"/>
    <w:rsid w:val="007227B8"/>
    <w:rsid w:val="00723B18"/>
    <w:rsid w:val="00723C24"/>
    <w:rsid w:val="00725252"/>
    <w:rsid w:val="00725D10"/>
    <w:rsid w:val="00731041"/>
    <w:rsid w:val="00731B00"/>
    <w:rsid w:val="0073231D"/>
    <w:rsid w:val="0073241A"/>
    <w:rsid w:val="00732D0E"/>
    <w:rsid w:val="00732F08"/>
    <w:rsid w:val="00734D17"/>
    <w:rsid w:val="00734D4D"/>
    <w:rsid w:val="007350E2"/>
    <w:rsid w:val="00735D5F"/>
    <w:rsid w:val="00740177"/>
    <w:rsid w:val="00740D52"/>
    <w:rsid w:val="0074190C"/>
    <w:rsid w:val="00741CB4"/>
    <w:rsid w:val="00743164"/>
    <w:rsid w:val="00743185"/>
    <w:rsid w:val="00743553"/>
    <w:rsid w:val="0074475C"/>
    <w:rsid w:val="00745D35"/>
    <w:rsid w:val="00750504"/>
    <w:rsid w:val="00750936"/>
    <w:rsid w:val="00751449"/>
    <w:rsid w:val="007514D7"/>
    <w:rsid w:val="00762576"/>
    <w:rsid w:val="0076278D"/>
    <w:rsid w:val="0076288B"/>
    <w:rsid w:val="00764049"/>
    <w:rsid w:val="00765AA0"/>
    <w:rsid w:val="00766AF9"/>
    <w:rsid w:val="007715F1"/>
    <w:rsid w:val="0077512A"/>
    <w:rsid w:val="0077572C"/>
    <w:rsid w:val="00776090"/>
    <w:rsid w:val="0077745D"/>
    <w:rsid w:val="00783F03"/>
    <w:rsid w:val="007846C4"/>
    <w:rsid w:val="00785836"/>
    <w:rsid w:val="007905C1"/>
    <w:rsid w:val="0079066B"/>
    <w:rsid w:val="00791060"/>
    <w:rsid w:val="00794622"/>
    <w:rsid w:val="007968CC"/>
    <w:rsid w:val="00797FAA"/>
    <w:rsid w:val="007A1BDE"/>
    <w:rsid w:val="007A3D1C"/>
    <w:rsid w:val="007A3E29"/>
    <w:rsid w:val="007A4E19"/>
    <w:rsid w:val="007A6007"/>
    <w:rsid w:val="007A74DB"/>
    <w:rsid w:val="007B008D"/>
    <w:rsid w:val="007B1D21"/>
    <w:rsid w:val="007B1E8B"/>
    <w:rsid w:val="007B3299"/>
    <w:rsid w:val="007B3D18"/>
    <w:rsid w:val="007B47A6"/>
    <w:rsid w:val="007B5626"/>
    <w:rsid w:val="007B5E37"/>
    <w:rsid w:val="007C10D5"/>
    <w:rsid w:val="007C1206"/>
    <w:rsid w:val="007C147B"/>
    <w:rsid w:val="007C2D93"/>
    <w:rsid w:val="007C2FD6"/>
    <w:rsid w:val="007C5147"/>
    <w:rsid w:val="007C539E"/>
    <w:rsid w:val="007C7772"/>
    <w:rsid w:val="007C7E9F"/>
    <w:rsid w:val="007D05B8"/>
    <w:rsid w:val="007D156B"/>
    <w:rsid w:val="007D1BC9"/>
    <w:rsid w:val="007D23E8"/>
    <w:rsid w:val="007D2448"/>
    <w:rsid w:val="007D297F"/>
    <w:rsid w:val="007D29E5"/>
    <w:rsid w:val="007D2E8E"/>
    <w:rsid w:val="007E1A00"/>
    <w:rsid w:val="007E1A97"/>
    <w:rsid w:val="007E1FDD"/>
    <w:rsid w:val="007E3B4A"/>
    <w:rsid w:val="007E52C1"/>
    <w:rsid w:val="007E7497"/>
    <w:rsid w:val="007F0312"/>
    <w:rsid w:val="007F08FF"/>
    <w:rsid w:val="007F108B"/>
    <w:rsid w:val="007F1651"/>
    <w:rsid w:val="007F4B03"/>
    <w:rsid w:val="007F4CD3"/>
    <w:rsid w:val="007F53FE"/>
    <w:rsid w:val="007F6F59"/>
    <w:rsid w:val="008019F3"/>
    <w:rsid w:val="00803091"/>
    <w:rsid w:val="008039B7"/>
    <w:rsid w:val="00803C99"/>
    <w:rsid w:val="00803CC4"/>
    <w:rsid w:val="00804F34"/>
    <w:rsid w:val="0080570B"/>
    <w:rsid w:val="00807F3C"/>
    <w:rsid w:val="0081172C"/>
    <w:rsid w:val="0081367A"/>
    <w:rsid w:val="00813EC6"/>
    <w:rsid w:val="008148E1"/>
    <w:rsid w:val="0081578B"/>
    <w:rsid w:val="00816212"/>
    <w:rsid w:val="00816B1B"/>
    <w:rsid w:val="00816F4E"/>
    <w:rsid w:val="00817C3A"/>
    <w:rsid w:val="008213C5"/>
    <w:rsid w:val="0082301B"/>
    <w:rsid w:val="00830825"/>
    <w:rsid w:val="00830AFC"/>
    <w:rsid w:val="00831716"/>
    <w:rsid w:val="008319BF"/>
    <w:rsid w:val="00831DE9"/>
    <w:rsid w:val="008325E7"/>
    <w:rsid w:val="008331ED"/>
    <w:rsid w:val="008331FF"/>
    <w:rsid w:val="008332C7"/>
    <w:rsid w:val="00833353"/>
    <w:rsid w:val="008337EA"/>
    <w:rsid w:val="0083541A"/>
    <w:rsid w:val="00837370"/>
    <w:rsid w:val="008429C5"/>
    <w:rsid w:val="008446D8"/>
    <w:rsid w:val="00845D7C"/>
    <w:rsid w:val="0084600B"/>
    <w:rsid w:val="00850DAE"/>
    <w:rsid w:val="00850E1C"/>
    <w:rsid w:val="00855D4B"/>
    <w:rsid w:val="0085653F"/>
    <w:rsid w:val="008576DD"/>
    <w:rsid w:val="00857E69"/>
    <w:rsid w:val="00861AC4"/>
    <w:rsid w:val="008622CC"/>
    <w:rsid w:val="00862DF2"/>
    <w:rsid w:val="00863BF0"/>
    <w:rsid w:val="00866662"/>
    <w:rsid w:val="008675AC"/>
    <w:rsid w:val="00870944"/>
    <w:rsid w:val="00871256"/>
    <w:rsid w:val="008712BF"/>
    <w:rsid w:val="00871414"/>
    <w:rsid w:val="00871BE1"/>
    <w:rsid w:val="00872C72"/>
    <w:rsid w:val="00876565"/>
    <w:rsid w:val="008809DC"/>
    <w:rsid w:val="008815F8"/>
    <w:rsid w:val="008837D2"/>
    <w:rsid w:val="00884748"/>
    <w:rsid w:val="00886D4D"/>
    <w:rsid w:val="00887E1E"/>
    <w:rsid w:val="008900DD"/>
    <w:rsid w:val="0089075A"/>
    <w:rsid w:val="00891597"/>
    <w:rsid w:val="008917A4"/>
    <w:rsid w:val="008950FB"/>
    <w:rsid w:val="0089574F"/>
    <w:rsid w:val="0089590C"/>
    <w:rsid w:val="00895F5A"/>
    <w:rsid w:val="00897849"/>
    <w:rsid w:val="00897F3A"/>
    <w:rsid w:val="008A0999"/>
    <w:rsid w:val="008A3FA6"/>
    <w:rsid w:val="008A423E"/>
    <w:rsid w:val="008A44A1"/>
    <w:rsid w:val="008A73CD"/>
    <w:rsid w:val="008A785C"/>
    <w:rsid w:val="008B0C31"/>
    <w:rsid w:val="008B0C9F"/>
    <w:rsid w:val="008B3848"/>
    <w:rsid w:val="008B44AF"/>
    <w:rsid w:val="008B4E67"/>
    <w:rsid w:val="008B7528"/>
    <w:rsid w:val="008C0912"/>
    <w:rsid w:val="008C2593"/>
    <w:rsid w:val="008C288E"/>
    <w:rsid w:val="008C2B89"/>
    <w:rsid w:val="008C3327"/>
    <w:rsid w:val="008C7E41"/>
    <w:rsid w:val="008D084B"/>
    <w:rsid w:val="008D0915"/>
    <w:rsid w:val="008D0E09"/>
    <w:rsid w:val="008D240E"/>
    <w:rsid w:val="008D34EF"/>
    <w:rsid w:val="008D43B3"/>
    <w:rsid w:val="008D46C1"/>
    <w:rsid w:val="008D4FB3"/>
    <w:rsid w:val="008D79EB"/>
    <w:rsid w:val="008D7E58"/>
    <w:rsid w:val="008E0F55"/>
    <w:rsid w:val="008E3821"/>
    <w:rsid w:val="008E4FEC"/>
    <w:rsid w:val="008E6948"/>
    <w:rsid w:val="008F2153"/>
    <w:rsid w:val="008F301D"/>
    <w:rsid w:val="008F3947"/>
    <w:rsid w:val="008F5428"/>
    <w:rsid w:val="008F5863"/>
    <w:rsid w:val="008F7119"/>
    <w:rsid w:val="008F7765"/>
    <w:rsid w:val="008F795E"/>
    <w:rsid w:val="008F7A69"/>
    <w:rsid w:val="009000BE"/>
    <w:rsid w:val="00900991"/>
    <w:rsid w:val="00903573"/>
    <w:rsid w:val="00904DA2"/>
    <w:rsid w:val="00906088"/>
    <w:rsid w:val="0090653D"/>
    <w:rsid w:val="00907221"/>
    <w:rsid w:val="00910046"/>
    <w:rsid w:val="00912C10"/>
    <w:rsid w:val="00913AFE"/>
    <w:rsid w:val="00913E4D"/>
    <w:rsid w:val="00914193"/>
    <w:rsid w:val="00916188"/>
    <w:rsid w:val="00916EFA"/>
    <w:rsid w:val="00923B5A"/>
    <w:rsid w:val="0092448B"/>
    <w:rsid w:val="00924549"/>
    <w:rsid w:val="0092483D"/>
    <w:rsid w:val="009249AD"/>
    <w:rsid w:val="00924D0B"/>
    <w:rsid w:val="00925125"/>
    <w:rsid w:val="00925283"/>
    <w:rsid w:val="009279FB"/>
    <w:rsid w:val="00927ACF"/>
    <w:rsid w:val="009303F9"/>
    <w:rsid w:val="00931F11"/>
    <w:rsid w:val="00934AF5"/>
    <w:rsid w:val="00937E44"/>
    <w:rsid w:val="009401A5"/>
    <w:rsid w:val="00941215"/>
    <w:rsid w:val="009414DA"/>
    <w:rsid w:val="00942685"/>
    <w:rsid w:val="00942815"/>
    <w:rsid w:val="00942E47"/>
    <w:rsid w:val="00942E8A"/>
    <w:rsid w:val="00943E90"/>
    <w:rsid w:val="009459CB"/>
    <w:rsid w:val="009471D2"/>
    <w:rsid w:val="0094742B"/>
    <w:rsid w:val="009475F6"/>
    <w:rsid w:val="009500D0"/>
    <w:rsid w:val="00953737"/>
    <w:rsid w:val="00955575"/>
    <w:rsid w:val="0095643A"/>
    <w:rsid w:val="009566C4"/>
    <w:rsid w:val="00960DAF"/>
    <w:rsid w:val="0096315B"/>
    <w:rsid w:val="00967A79"/>
    <w:rsid w:val="00967AAE"/>
    <w:rsid w:val="0097071A"/>
    <w:rsid w:val="00972289"/>
    <w:rsid w:val="009724A2"/>
    <w:rsid w:val="00972782"/>
    <w:rsid w:val="00972CB0"/>
    <w:rsid w:val="00973859"/>
    <w:rsid w:val="00973E07"/>
    <w:rsid w:val="0097494C"/>
    <w:rsid w:val="0097591A"/>
    <w:rsid w:val="009762F2"/>
    <w:rsid w:val="0097693B"/>
    <w:rsid w:val="00980A48"/>
    <w:rsid w:val="00980D1D"/>
    <w:rsid w:val="0098199F"/>
    <w:rsid w:val="00981CFB"/>
    <w:rsid w:val="00981FE5"/>
    <w:rsid w:val="00983CE4"/>
    <w:rsid w:val="00984378"/>
    <w:rsid w:val="00984660"/>
    <w:rsid w:val="00984795"/>
    <w:rsid w:val="0098538D"/>
    <w:rsid w:val="0098608B"/>
    <w:rsid w:val="00990165"/>
    <w:rsid w:val="0099022E"/>
    <w:rsid w:val="00992941"/>
    <w:rsid w:val="00993355"/>
    <w:rsid w:val="00994D78"/>
    <w:rsid w:val="0099633F"/>
    <w:rsid w:val="00997A9E"/>
    <w:rsid w:val="009A46BF"/>
    <w:rsid w:val="009A4A6D"/>
    <w:rsid w:val="009A4BFF"/>
    <w:rsid w:val="009A63D8"/>
    <w:rsid w:val="009A6773"/>
    <w:rsid w:val="009A69B9"/>
    <w:rsid w:val="009A7DA9"/>
    <w:rsid w:val="009B0A83"/>
    <w:rsid w:val="009B1775"/>
    <w:rsid w:val="009B23A1"/>
    <w:rsid w:val="009B2D0E"/>
    <w:rsid w:val="009B3FCF"/>
    <w:rsid w:val="009B5D9E"/>
    <w:rsid w:val="009B71A9"/>
    <w:rsid w:val="009B74AC"/>
    <w:rsid w:val="009B79C5"/>
    <w:rsid w:val="009C070B"/>
    <w:rsid w:val="009C0B35"/>
    <w:rsid w:val="009C361C"/>
    <w:rsid w:val="009C4BC9"/>
    <w:rsid w:val="009C55F7"/>
    <w:rsid w:val="009C739F"/>
    <w:rsid w:val="009C7F87"/>
    <w:rsid w:val="009D21A6"/>
    <w:rsid w:val="009D361F"/>
    <w:rsid w:val="009D58D0"/>
    <w:rsid w:val="009D59D6"/>
    <w:rsid w:val="009D6BE2"/>
    <w:rsid w:val="009D72A0"/>
    <w:rsid w:val="009D7837"/>
    <w:rsid w:val="009E262D"/>
    <w:rsid w:val="009E2D77"/>
    <w:rsid w:val="009E4743"/>
    <w:rsid w:val="009E750F"/>
    <w:rsid w:val="009E76F1"/>
    <w:rsid w:val="009F0D50"/>
    <w:rsid w:val="009F312E"/>
    <w:rsid w:val="009F4D94"/>
    <w:rsid w:val="009F5E38"/>
    <w:rsid w:val="00A03088"/>
    <w:rsid w:val="00A041C0"/>
    <w:rsid w:val="00A0503B"/>
    <w:rsid w:val="00A13265"/>
    <w:rsid w:val="00A1327F"/>
    <w:rsid w:val="00A13E59"/>
    <w:rsid w:val="00A14039"/>
    <w:rsid w:val="00A179C7"/>
    <w:rsid w:val="00A208DC"/>
    <w:rsid w:val="00A20980"/>
    <w:rsid w:val="00A21016"/>
    <w:rsid w:val="00A23C62"/>
    <w:rsid w:val="00A23DCD"/>
    <w:rsid w:val="00A23EC7"/>
    <w:rsid w:val="00A2403C"/>
    <w:rsid w:val="00A24538"/>
    <w:rsid w:val="00A24603"/>
    <w:rsid w:val="00A26C65"/>
    <w:rsid w:val="00A270B8"/>
    <w:rsid w:val="00A31185"/>
    <w:rsid w:val="00A40E47"/>
    <w:rsid w:val="00A41B9E"/>
    <w:rsid w:val="00A42401"/>
    <w:rsid w:val="00A42516"/>
    <w:rsid w:val="00A43393"/>
    <w:rsid w:val="00A44886"/>
    <w:rsid w:val="00A45D40"/>
    <w:rsid w:val="00A4693B"/>
    <w:rsid w:val="00A469CE"/>
    <w:rsid w:val="00A55D26"/>
    <w:rsid w:val="00A56050"/>
    <w:rsid w:val="00A601B1"/>
    <w:rsid w:val="00A60DEA"/>
    <w:rsid w:val="00A61885"/>
    <w:rsid w:val="00A61C43"/>
    <w:rsid w:val="00A62AE4"/>
    <w:rsid w:val="00A62F0C"/>
    <w:rsid w:val="00A64F23"/>
    <w:rsid w:val="00A67415"/>
    <w:rsid w:val="00A6755A"/>
    <w:rsid w:val="00A67B34"/>
    <w:rsid w:val="00A71064"/>
    <w:rsid w:val="00A71136"/>
    <w:rsid w:val="00A718EF"/>
    <w:rsid w:val="00A745F3"/>
    <w:rsid w:val="00A74707"/>
    <w:rsid w:val="00A74E20"/>
    <w:rsid w:val="00A75093"/>
    <w:rsid w:val="00A7579B"/>
    <w:rsid w:val="00A76EB9"/>
    <w:rsid w:val="00A774C9"/>
    <w:rsid w:val="00A80D59"/>
    <w:rsid w:val="00A81DC5"/>
    <w:rsid w:val="00A826AE"/>
    <w:rsid w:val="00A82A7D"/>
    <w:rsid w:val="00A85814"/>
    <w:rsid w:val="00A85A95"/>
    <w:rsid w:val="00A85B8D"/>
    <w:rsid w:val="00A900A7"/>
    <w:rsid w:val="00A9198E"/>
    <w:rsid w:val="00A91EE1"/>
    <w:rsid w:val="00A93A4C"/>
    <w:rsid w:val="00A945A3"/>
    <w:rsid w:val="00A94AB1"/>
    <w:rsid w:val="00A94F89"/>
    <w:rsid w:val="00A950C6"/>
    <w:rsid w:val="00A96A6D"/>
    <w:rsid w:val="00A96D49"/>
    <w:rsid w:val="00A96D64"/>
    <w:rsid w:val="00A97A7B"/>
    <w:rsid w:val="00AA0640"/>
    <w:rsid w:val="00AA1168"/>
    <w:rsid w:val="00AA2D8E"/>
    <w:rsid w:val="00AA474C"/>
    <w:rsid w:val="00AA5FF4"/>
    <w:rsid w:val="00AA7E28"/>
    <w:rsid w:val="00AB06EA"/>
    <w:rsid w:val="00AB0EAD"/>
    <w:rsid w:val="00AB2572"/>
    <w:rsid w:val="00AB2F8F"/>
    <w:rsid w:val="00AB4C15"/>
    <w:rsid w:val="00AC06B6"/>
    <w:rsid w:val="00AC19BB"/>
    <w:rsid w:val="00AC2F93"/>
    <w:rsid w:val="00AC490E"/>
    <w:rsid w:val="00AC5776"/>
    <w:rsid w:val="00AC590C"/>
    <w:rsid w:val="00AC5C5C"/>
    <w:rsid w:val="00AC5E84"/>
    <w:rsid w:val="00AC6DDA"/>
    <w:rsid w:val="00AD1F32"/>
    <w:rsid w:val="00AD4F34"/>
    <w:rsid w:val="00AD73A6"/>
    <w:rsid w:val="00AD7E5F"/>
    <w:rsid w:val="00AE0B2B"/>
    <w:rsid w:val="00AE0EA4"/>
    <w:rsid w:val="00AE13F2"/>
    <w:rsid w:val="00AE1FD2"/>
    <w:rsid w:val="00AE2F0A"/>
    <w:rsid w:val="00AE345D"/>
    <w:rsid w:val="00AE3534"/>
    <w:rsid w:val="00AE3D2E"/>
    <w:rsid w:val="00AE7CFF"/>
    <w:rsid w:val="00AF06C3"/>
    <w:rsid w:val="00AF1316"/>
    <w:rsid w:val="00AF45CC"/>
    <w:rsid w:val="00AF50D6"/>
    <w:rsid w:val="00AF518D"/>
    <w:rsid w:val="00AF6E67"/>
    <w:rsid w:val="00B00D2F"/>
    <w:rsid w:val="00B01025"/>
    <w:rsid w:val="00B01AA1"/>
    <w:rsid w:val="00B0210F"/>
    <w:rsid w:val="00B04A7F"/>
    <w:rsid w:val="00B06181"/>
    <w:rsid w:val="00B06284"/>
    <w:rsid w:val="00B11DC5"/>
    <w:rsid w:val="00B1248B"/>
    <w:rsid w:val="00B1318A"/>
    <w:rsid w:val="00B1374D"/>
    <w:rsid w:val="00B15CFC"/>
    <w:rsid w:val="00B16C12"/>
    <w:rsid w:val="00B16D8E"/>
    <w:rsid w:val="00B174C9"/>
    <w:rsid w:val="00B1783B"/>
    <w:rsid w:val="00B20F8E"/>
    <w:rsid w:val="00B21568"/>
    <w:rsid w:val="00B24089"/>
    <w:rsid w:val="00B24A1B"/>
    <w:rsid w:val="00B24AD2"/>
    <w:rsid w:val="00B26580"/>
    <w:rsid w:val="00B26743"/>
    <w:rsid w:val="00B26F38"/>
    <w:rsid w:val="00B270ED"/>
    <w:rsid w:val="00B27E54"/>
    <w:rsid w:val="00B30C81"/>
    <w:rsid w:val="00B31940"/>
    <w:rsid w:val="00B3241D"/>
    <w:rsid w:val="00B32955"/>
    <w:rsid w:val="00B34275"/>
    <w:rsid w:val="00B3442B"/>
    <w:rsid w:val="00B3474C"/>
    <w:rsid w:val="00B36D05"/>
    <w:rsid w:val="00B41F20"/>
    <w:rsid w:val="00B43281"/>
    <w:rsid w:val="00B4793B"/>
    <w:rsid w:val="00B514E3"/>
    <w:rsid w:val="00B521D8"/>
    <w:rsid w:val="00B5341F"/>
    <w:rsid w:val="00B54758"/>
    <w:rsid w:val="00B56EAB"/>
    <w:rsid w:val="00B571A6"/>
    <w:rsid w:val="00B6050B"/>
    <w:rsid w:val="00B6196A"/>
    <w:rsid w:val="00B62D19"/>
    <w:rsid w:val="00B62E99"/>
    <w:rsid w:val="00B630C3"/>
    <w:rsid w:val="00B65891"/>
    <w:rsid w:val="00B660EF"/>
    <w:rsid w:val="00B66740"/>
    <w:rsid w:val="00B66B81"/>
    <w:rsid w:val="00B677C4"/>
    <w:rsid w:val="00B70E33"/>
    <w:rsid w:val="00B70FFA"/>
    <w:rsid w:val="00B719B3"/>
    <w:rsid w:val="00B7229D"/>
    <w:rsid w:val="00B74DDA"/>
    <w:rsid w:val="00B766B7"/>
    <w:rsid w:val="00B800C2"/>
    <w:rsid w:val="00B805FE"/>
    <w:rsid w:val="00B81A27"/>
    <w:rsid w:val="00B842B7"/>
    <w:rsid w:val="00B85822"/>
    <w:rsid w:val="00B86B7A"/>
    <w:rsid w:val="00B91662"/>
    <w:rsid w:val="00B93EB8"/>
    <w:rsid w:val="00B94699"/>
    <w:rsid w:val="00B97AC9"/>
    <w:rsid w:val="00BA12EC"/>
    <w:rsid w:val="00BA3D99"/>
    <w:rsid w:val="00BA5931"/>
    <w:rsid w:val="00BA7F82"/>
    <w:rsid w:val="00BB0239"/>
    <w:rsid w:val="00BB0400"/>
    <w:rsid w:val="00BB0C67"/>
    <w:rsid w:val="00BB333C"/>
    <w:rsid w:val="00BB3A53"/>
    <w:rsid w:val="00BB4716"/>
    <w:rsid w:val="00BB5488"/>
    <w:rsid w:val="00BB7134"/>
    <w:rsid w:val="00BB7E96"/>
    <w:rsid w:val="00BC1632"/>
    <w:rsid w:val="00BC1885"/>
    <w:rsid w:val="00BC1B78"/>
    <w:rsid w:val="00BC5F80"/>
    <w:rsid w:val="00BC631D"/>
    <w:rsid w:val="00BC7506"/>
    <w:rsid w:val="00BC78EC"/>
    <w:rsid w:val="00BD1EDA"/>
    <w:rsid w:val="00BD2115"/>
    <w:rsid w:val="00BD31F7"/>
    <w:rsid w:val="00BD5018"/>
    <w:rsid w:val="00BD7BBB"/>
    <w:rsid w:val="00BE1987"/>
    <w:rsid w:val="00BE1EA7"/>
    <w:rsid w:val="00BE23AC"/>
    <w:rsid w:val="00BE3A0B"/>
    <w:rsid w:val="00BE4449"/>
    <w:rsid w:val="00BE6570"/>
    <w:rsid w:val="00BE77D9"/>
    <w:rsid w:val="00BF1F1A"/>
    <w:rsid w:val="00BF283D"/>
    <w:rsid w:val="00BF31A3"/>
    <w:rsid w:val="00BF43F6"/>
    <w:rsid w:val="00BF7D92"/>
    <w:rsid w:val="00C012DB"/>
    <w:rsid w:val="00C01B03"/>
    <w:rsid w:val="00C01CBA"/>
    <w:rsid w:val="00C01FAE"/>
    <w:rsid w:val="00C03867"/>
    <w:rsid w:val="00C041B0"/>
    <w:rsid w:val="00C056C5"/>
    <w:rsid w:val="00C05755"/>
    <w:rsid w:val="00C0759F"/>
    <w:rsid w:val="00C07EE6"/>
    <w:rsid w:val="00C1025E"/>
    <w:rsid w:val="00C10E41"/>
    <w:rsid w:val="00C15633"/>
    <w:rsid w:val="00C15799"/>
    <w:rsid w:val="00C16887"/>
    <w:rsid w:val="00C2070C"/>
    <w:rsid w:val="00C20F4D"/>
    <w:rsid w:val="00C22375"/>
    <w:rsid w:val="00C232BF"/>
    <w:rsid w:val="00C2496D"/>
    <w:rsid w:val="00C254AC"/>
    <w:rsid w:val="00C256E8"/>
    <w:rsid w:val="00C256FA"/>
    <w:rsid w:val="00C26745"/>
    <w:rsid w:val="00C26F41"/>
    <w:rsid w:val="00C307BC"/>
    <w:rsid w:val="00C32C2B"/>
    <w:rsid w:val="00C348CD"/>
    <w:rsid w:val="00C357AD"/>
    <w:rsid w:val="00C3644A"/>
    <w:rsid w:val="00C367E0"/>
    <w:rsid w:val="00C37346"/>
    <w:rsid w:val="00C41A2B"/>
    <w:rsid w:val="00C41BAD"/>
    <w:rsid w:val="00C41E9D"/>
    <w:rsid w:val="00C44350"/>
    <w:rsid w:val="00C47E76"/>
    <w:rsid w:val="00C50326"/>
    <w:rsid w:val="00C513EC"/>
    <w:rsid w:val="00C52A3C"/>
    <w:rsid w:val="00C6069C"/>
    <w:rsid w:val="00C6112B"/>
    <w:rsid w:val="00C62212"/>
    <w:rsid w:val="00C63C70"/>
    <w:rsid w:val="00C65261"/>
    <w:rsid w:val="00C70F6A"/>
    <w:rsid w:val="00C73F61"/>
    <w:rsid w:val="00C75805"/>
    <w:rsid w:val="00C80488"/>
    <w:rsid w:val="00C81E61"/>
    <w:rsid w:val="00C84BA4"/>
    <w:rsid w:val="00C85119"/>
    <w:rsid w:val="00C8788B"/>
    <w:rsid w:val="00C87F04"/>
    <w:rsid w:val="00C90A6B"/>
    <w:rsid w:val="00C9162A"/>
    <w:rsid w:val="00C92735"/>
    <w:rsid w:val="00C92D8F"/>
    <w:rsid w:val="00C951B9"/>
    <w:rsid w:val="00C97C90"/>
    <w:rsid w:val="00CA08FA"/>
    <w:rsid w:val="00CA0B3E"/>
    <w:rsid w:val="00CA1FE8"/>
    <w:rsid w:val="00CA317E"/>
    <w:rsid w:val="00CA5155"/>
    <w:rsid w:val="00CB181D"/>
    <w:rsid w:val="00CB2669"/>
    <w:rsid w:val="00CB2786"/>
    <w:rsid w:val="00CB43F7"/>
    <w:rsid w:val="00CB6D97"/>
    <w:rsid w:val="00CC052B"/>
    <w:rsid w:val="00CC0AE3"/>
    <w:rsid w:val="00CC13FD"/>
    <w:rsid w:val="00CC1420"/>
    <w:rsid w:val="00CC1D5B"/>
    <w:rsid w:val="00CC357D"/>
    <w:rsid w:val="00CC5321"/>
    <w:rsid w:val="00CC56C6"/>
    <w:rsid w:val="00CD0913"/>
    <w:rsid w:val="00CD2FD4"/>
    <w:rsid w:val="00CD350B"/>
    <w:rsid w:val="00CD3C95"/>
    <w:rsid w:val="00CD5431"/>
    <w:rsid w:val="00CD7580"/>
    <w:rsid w:val="00CD7A62"/>
    <w:rsid w:val="00CE17AA"/>
    <w:rsid w:val="00CE1DE7"/>
    <w:rsid w:val="00CE4953"/>
    <w:rsid w:val="00CE55D6"/>
    <w:rsid w:val="00CE5683"/>
    <w:rsid w:val="00CE69CA"/>
    <w:rsid w:val="00CE6DD9"/>
    <w:rsid w:val="00CE701C"/>
    <w:rsid w:val="00CE7A97"/>
    <w:rsid w:val="00CF2491"/>
    <w:rsid w:val="00CF2CBA"/>
    <w:rsid w:val="00CF2DF8"/>
    <w:rsid w:val="00CF3030"/>
    <w:rsid w:val="00CF51E4"/>
    <w:rsid w:val="00CF59C9"/>
    <w:rsid w:val="00CF5DDC"/>
    <w:rsid w:val="00CF5F48"/>
    <w:rsid w:val="00CF612C"/>
    <w:rsid w:val="00CF68B0"/>
    <w:rsid w:val="00CF7175"/>
    <w:rsid w:val="00D01F99"/>
    <w:rsid w:val="00D054C0"/>
    <w:rsid w:val="00D05B76"/>
    <w:rsid w:val="00D05F3C"/>
    <w:rsid w:val="00D05FC6"/>
    <w:rsid w:val="00D1252E"/>
    <w:rsid w:val="00D12CE1"/>
    <w:rsid w:val="00D15150"/>
    <w:rsid w:val="00D15327"/>
    <w:rsid w:val="00D1639D"/>
    <w:rsid w:val="00D21F9A"/>
    <w:rsid w:val="00D22F1A"/>
    <w:rsid w:val="00D23137"/>
    <w:rsid w:val="00D2444D"/>
    <w:rsid w:val="00D2465C"/>
    <w:rsid w:val="00D24840"/>
    <w:rsid w:val="00D24C1C"/>
    <w:rsid w:val="00D25DFA"/>
    <w:rsid w:val="00D2650F"/>
    <w:rsid w:val="00D312F6"/>
    <w:rsid w:val="00D31452"/>
    <w:rsid w:val="00D32DD7"/>
    <w:rsid w:val="00D33987"/>
    <w:rsid w:val="00D34DD7"/>
    <w:rsid w:val="00D35193"/>
    <w:rsid w:val="00D35A85"/>
    <w:rsid w:val="00D36722"/>
    <w:rsid w:val="00D37163"/>
    <w:rsid w:val="00D4064F"/>
    <w:rsid w:val="00D41AE9"/>
    <w:rsid w:val="00D41B92"/>
    <w:rsid w:val="00D435D8"/>
    <w:rsid w:val="00D43A44"/>
    <w:rsid w:val="00D44C34"/>
    <w:rsid w:val="00D44D9E"/>
    <w:rsid w:val="00D462FA"/>
    <w:rsid w:val="00D46AEC"/>
    <w:rsid w:val="00D479DC"/>
    <w:rsid w:val="00D500B1"/>
    <w:rsid w:val="00D511D2"/>
    <w:rsid w:val="00D515A3"/>
    <w:rsid w:val="00D5186B"/>
    <w:rsid w:val="00D52896"/>
    <w:rsid w:val="00D5307B"/>
    <w:rsid w:val="00D5471C"/>
    <w:rsid w:val="00D561F9"/>
    <w:rsid w:val="00D568AD"/>
    <w:rsid w:val="00D57772"/>
    <w:rsid w:val="00D60D00"/>
    <w:rsid w:val="00D6124D"/>
    <w:rsid w:val="00D61E22"/>
    <w:rsid w:val="00D651AB"/>
    <w:rsid w:val="00D70564"/>
    <w:rsid w:val="00D70F0F"/>
    <w:rsid w:val="00D71EAB"/>
    <w:rsid w:val="00D72AE3"/>
    <w:rsid w:val="00D74C42"/>
    <w:rsid w:val="00D75A4D"/>
    <w:rsid w:val="00D766AD"/>
    <w:rsid w:val="00D76BD0"/>
    <w:rsid w:val="00D77D73"/>
    <w:rsid w:val="00D806F2"/>
    <w:rsid w:val="00D825DF"/>
    <w:rsid w:val="00D82DCA"/>
    <w:rsid w:val="00D8478B"/>
    <w:rsid w:val="00D84CEE"/>
    <w:rsid w:val="00D86151"/>
    <w:rsid w:val="00D866B9"/>
    <w:rsid w:val="00D8714F"/>
    <w:rsid w:val="00D87695"/>
    <w:rsid w:val="00D9112B"/>
    <w:rsid w:val="00D91215"/>
    <w:rsid w:val="00D914F7"/>
    <w:rsid w:val="00D91D0F"/>
    <w:rsid w:val="00D91F96"/>
    <w:rsid w:val="00D92126"/>
    <w:rsid w:val="00D93670"/>
    <w:rsid w:val="00D943DC"/>
    <w:rsid w:val="00D94EED"/>
    <w:rsid w:val="00D9603E"/>
    <w:rsid w:val="00DA395A"/>
    <w:rsid w:val="00DA3CC4"/>
    <w:rsid w:val="00DA56FE"/>
    <w:rsid w:val="00DA6188"/>
    <w:rsid w:val="00DA66CC"/>
    <w:rsid w:val="00DA7595"/>
    <w:rsid w:val="00DA7651"/>
    <w:rsid w:val="00DB0A68"/>
    <w:rsid w:val="00DB0FFF"/>
    <w:rsid w:val="00DB1333"/>
    <w:rsid w:val="00DB13B0"/>
    <w:rsid w:val="00DB2792"/>
    <w:rsid w:val="00DB2951"/>
    <w:rsid w:val="00DB2A76"/>
    <w:rsid w:val="00DB3D78"/>
    <w:rsid w:val="00DB4A1C"/>
    <w:rsid w:val="00DB6AAC"/>
    <w:rsid w:val="00DB6B43"/>
    <w:rsid w:val="00DB7557"/>
    <w:rsid w:val="00DB788E"/>
    <w:rsid w:val="00DB7FB5"/>
    <w:rsid w:val="00DC0FA0"/>
    <w:rsid w:val="00DC40AF"/>
    <w:rsid w:val="00DC43A3"/>
    <w:rsid w:val="00DD0380"/>
    <w:rsid w:val="00DD157A"/>
    <w:rsid w:val="00DD4804"/>
    <w:rsid w:val="00DD6A46"/>
    <w:rsid w:val="00DD73F7"/>
    <w:rsid w:val="00DD7C09"/>
    <w:rsid w:val="00DE0866"/>
    <w:rsid w:val="00DE0D03"/>
    <w:rsid w:val="00DE0EF1"/>
    <w:rsid w:val="00DE22F9"/>
    <w:rsid w:val="00DE2FC5"/>
    <w:rsid w:val="00DE38A9"/>
    <w:rsid w:val="00DE3CBA"/>
    <w:rsid w:val="00DE4D48"/>
    <w:rsid w:val="00DE54CF"/>
    <w:rsid w:val="00DF0393"/>
    <w:rsid w:val="00DF2A9C"/>
    <w:rsid w:val="00DF5BD4"/>
    <w:rsid w:val="00DF6129"/>
    <w:rsid w:val="00DF6220"/>
    <w:rsid w:val="00DF653C"/>
    <w:rsid w:val="00DF6A65"/>
    <w:rsid w:val="00DF75CE"/>
    <w:rsid w:val="00DF791C"/>
    <w:rsid w:val="00E0124F"/>
    <w:rsid w:val="00E02E0D"/>
    <w:rsid w:val="00E03BD5"/>
    <w:rsid w:val="00E05B81"/>
    <w:rsid w:val="00E06286"/>
    <w:rsid w:val="00E067A8"/>
    <w:rsid w:val="00E11068"/>
    <w:rsid w:val="00E12453"/>
    <w:rsid w:val="00E12CEA"/>
    <w:rsid w:val="00E16279"/>
    <w:rsid w:val="00E17376"/>
    <w:rsid w:val="00E17995"/>
    <w:rsid w:val="00E2271E"/>
    <w:rsid w:val="00E23B1B"/>
    <w:rsid w:val="00E23D98"/>
    <w:rsid w:val="00E24B23"/>
    <w:rsid w:val="00E30431"/>
    <w:rsid w:val="00E304A3"/>
    <w:rsid w:val="00E32904"/>
    <w:rsid w:val="00E35770"/>
    <w:rsid w:val="00E37D0C"/>
    <w:rsid w:val="00E403B9"/>
    <w:rsid w:val="00E41055"/>
    <w:rsid w:val="00E41E31"/>
    <w:rsid w:val="00E4219E"/>
    <w:rsid w:val="00E42E02"/>
    <w:rsid w:val="00E43133"/>
    <w:rsid w:val="00E43D75"/>
    <w:rsid w:val="00E50F07"/>
    <w:rsid w:val="00E51EAE"/>
    <w:rsid w:val="00E52352"/>
    <w:rsid w:val="00E5341E"/>
    <w:rsid w:val="00E545D9"/>
    <w:rsid w:val="00E55E4B"/>
    <w:rsid w:val="00E56FF1"/>
    <w:rsid w:val="00E578D3"/>
    <w:rsid w:val="00E621C3"/>
    <w:rsid w:val="00E62325"/>
    <w:rsid w:val="00E64550"/>
    <w:rsid w:val="00E64A34"/>
    <w:rsid w:val="00E65B88"/>
    <w:rsid w:val="00E65EEB"/>
    <w:rsid w:val="00E65FC2"/>
    <w:rsid w:val="00E667E0"/>
    <w:rsid w:val="00E674D3"/>
    <w:rsid w:val="00E675A3"/>
    <w:rsid w:val="00E67AF3"/>
    <w:rsid w:val="00E70FD0"/>
    <w:rsid w:val="00E72619"/>
    <w:rsid w:val="00E7420B"/>
    <w:rsid w:val="00E74EFD"/>
    <w:rsid w:val="00E74F12"/>
    <w:rsid w:val="00E7599F"/>
    <w:rsid w:val="00E7715F"/>
    <w:rsid w:val="00E80263"/>
    <w:rsid w:val="00E8083E"/>
    <w:rsid w:val="00E80CAE"/>
    <w:rsid w:val="00E8162F"/>
    <w:rsid w:val="00E82112"/>
    <w:rsid w:val="00E82DBB"/>
    <w:rsid w:val="00E90EBA"/>
    <w:rsid w:val="00E93C8A"/>
    <w:rsid w:val="00E93EE8"/>
    <w:rsid w:val="00E94ADC"/>
    <w:rsid w:val="00E96A69"/>
    <w:rsid w:val="00EA07A2"/>
    <w:rsid w:val="00EA3185"/>
    <w:rsid w:val="00EA44E0"/>
    <w:rsid w:val="00EA5D7A"/>
    <w:rsid w:val="00EA7027"/>
    <w:rsid w:val="00EA7B78"/>
    <w:rsid w:val="00EB0C7B"/>
    <w:rsid w:val="00EB2081"/>
    <w:rsid w:val="00EB4086"/>
    <w:rsid w:val="00EB4F8A"/>
    <w:rsid w:val="00EC0A84"/>
    <w:rsid w:val="00EC2302"/>
    <w:rsid w:val="00EC249E"/>
    <w:rsid w:val="00EC2E5C"/>
    <w:rsid w:val="00EC46C3"/>
    <w:rsid w:val="00EC4AEB"/>
    <w:rsid w:val="00EC60F9"/>
    <w:rsid w:val="00EC65E6"/>
    <w:rsid w:val="00EC7842"/>
    <w:rsid w:val="00ED0FF2"/>
    <w:rsid w:val="00ED177B"/>
    <w:rsid w:val="00ED21D5"/>
    <w:rsid w:val="00ED3833"/>
    <w:rsid w:val="00ED4B5B"/>
    <w:rsid w:val="00ED5B1D"/>
    <w:rsid w:val="00ED723F"/>
    <w:rsid w:val="00EE101F"/>
    <w:rsid w:val="00EE22A5"/>
    <w:rsid w:val="00EE27CB"/>
    <w:rsid w:val="00EE3496"/>
    <w:rsid w:val="00EF23E0"/>
    <w:rsid w:val="00EF2406"/>
    <w:rsid w:val="00EF301F"/>
    <w:rsid w:val="00EF5E45"/>
    <w:rsid w:val="00EF711D"/>
    <w:rsid w:val="00F00257"/>
    <w:rsid w:val="00F01C7F"/>
    <w:rsid w:val="00F02417"/>
    <w:rsid w:val="00F051EB"/>
    <w:rsid w:val="00F0544A"/>
    <w:rsid w:val="00F061FB"/>
    <w:rsid w:val="00F075E1"/>
    <w:rsid w:val="00F1006C"/>
    <w:rsid w:val="00F10344"/>
    <w:rsid w:val="00F10473"/>
    <w:rsid w:val="00F10D0D"/>
    <w:rsid w:val="00F1125F"/>
    <w:rsid w:val="00F119A1"/>
    <w:rsid w:val="00F11C7F"/>
    <w:rsid w:val="00F13A69"/>
    <w:rsid w:val="00F1758F"/>
    <w:rsid w:val="00F17FE1"/>
    <w:rsid w:val="00F20443"/>
    <w:rsid w:val="00F225D0"/>
    <w:rsid w:val="00F250AA"/>
    <w:rsid w:val="00F27A79"/>
    <w:rsid w:val="00F309AB"/>
    <w:rsid w:val="00F30C1E"/>
    <w:rsid w:val="00F319BE"/>
    <w:rsid w:val="00F331E1"/>
    <w:rsid w:val="00F33318"/>
    <w:rsid w:val="00F3416E"/>
    <w:rsid w:val="00F3456F"/>
    <w:rsid w:val="00F3603C"/>
    <w:rsid w:val="00F37F0C"/>
    <w:rsid w:val="00F413DA"/>
    <w:rsid w:val="00F43505"/>
    <w:rsid w:val="00F44A41"/>
    <w:rsid w:val="00F450C6"/>
    <w:rsid w:val="00F45D1A"/>
    <w:rsid w:val="00F47A4A"/>
    <w:rsid w:val="00F47B09"/>
    <w:rsid w:val="00F52154"/>
    <w:rsid w:val="00F52A5B"/>
    <w:rsid w:val="00F5332C"/>
    <w:rsid w:val="00F53891"/>
    <w:rsid w:val="00F55D1B"/>
    <w:rsid w:val="00F55E0A"/>
    <w:rsid w:val="00F5602A"/>
    <w:rsid w:val="00F56663"/>
    <w:rsid w:val="00F5668C"/>
    <w:rsid w:val="00F5682A"/>
    <w:rsid w:val="00F56A59"/>
    <w:rsid w:val="00F57101"/>
    <w:rsid w:val="00F57A20"/>
    <w:rsid w:val="00F626B7"/>
    <w:rsid w:val="00F6323A"/>
    <w:rsid w:val="00F650EB"/>
    <w:rsid w:val="00F672E7"/>
    <w:rsid w:val="00F700A9"/>
    <w:rsid w:val="00F701F0"/>
    <w:rsid w:val="00F711DC"/>
    <w:rsid w:val="00F74980"/>
    <w:rsid w:val="00F84067"/>
    <w:rsid w:val="00F85A3B"/>
    <w:rsid w:val="00F871F5"/>
    <w:rsid w:val="00F87ECA"/>
    <w:rsid w:val="00F91A58"/>
    <w:rsid w:val="00F9303B"/>
    <w:rsid w:val="00F9338F"/>
    <w:rsid w:val="00F94422"/>
    <w:rsid w:val="00F94BC8"/>
    <w:rsid w:val="00F95D6E"/>
    <w:rsid w:val="00F9610E"/>
    <w:rsid w:val="00FA0541"/>
    <w:rsid w:val="00FA0A16"/>
    <w:rsid w:val="00FA7668"/>
    <w:rsid w:val="00FA7F4A"/>
    <w:rsid w:val="00FB4E24"/>
    <w:rsid w:val="00FB685D"/>
    <w:rsid w:val="00FB709D"/>
    <w:rsid w:val="00FB7138"/>
    <w:rsid w:val="00FC07B0"/>
    <w:rsid w:val="00FC156A"/>
    <w:rsid w:val="00FC38E2"/>
    <w:rsid w:val="00FC4D7C"/>
    <w:rsid w:val="00FC5861"/>
    <w:rsid w:val="00FC62C1"/>
    <w:rsid w:val="00FC7A38"/>
    <w:rsid w:val="00FD048C"/>
    <w:rsid w:val="00FD0AEE"/>
    <w:rsid w:val="00FD287A"/>
    <w:rsid w:val="00FD452A"/>
    <w:rsid w:val="00FD4D06"/>
    <w:rsid w:val="00FE03BD"/>
    <w:rsid w:val="00FE1685"/>
    <w:rsid w:val="00FE2653"/>
    <w:rsid w:val="00FE3DE5"/>
    <w:rsid w:val="00FE7D09"/>
    <w:rsid w:val="00FF1167"/>
    <w:rsid w:val="00FF1B38"/>
    <w:rsid w:val="00FF1C37"/>
    <w:rsid w:val="00FF340B"/>
    <w:rsid w:val="00FF4B3D"/>
    <w:rsid w:val="00FF5B7E"/>
    <w:rsid w:val="00FF72BB"/>
    <w:rsid w:val="00FF72E5"/>
    <w:rsid w:val="00FF796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7C8841"/>
  <w15:docId w15:val="{A278DF0E-8BD4-4B61-B281-77777549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891"/>
    <w:pPr>
      <w:spacing w:after="0" w:line="240" w:lineRule="auto"/>
    </w:pPr>
    <w:rPr>
      <w:rFonts w:ascii="Times New Roman" w:eastAsia="BatangChe" w:hAnsi="Times New Roman" w:cs="Times New Roman"/>
      <w:sz w:val="24"/>
      <w:szCs w:val="24"/>
      <w:lang w:val="en-US"/>
    </w:rPr>
  </w:style>
  <w:style w:type="paragraph" w:styleId="Heading1">
    <w:name w:val="heading 1"/>
    <w:basedOn w:val="Normal"/>
    <w:next w:val="Normal"/>
    <w:link w:val="Heading1Char"/>
    <w:qFormat/>
    <w:rsid w:val="005C67DA"/>
    <w:pPr>
      <w:keepNext/>
      <w:jc w:val="center"/>
      <w:outlineLvl w:val="0"/>
    </w:pPr>
    <w:rPr>
      <w:b/>
      <w:bCs/>
      <w:u w:val="single"/>
    </w:rPr>
  </w:style>
  <w:style w:type="paragraph" w:styleId="Heading2">
    <w:name w:val="heading 2"/>
    <w:basedOn w:val="Normal"/>
    <w:next w:val="Normal"/>
    <w:link w:val="Heading2Char"/>
    <w:unhideWhenUsed/>
    <w:qFormat/>
    <w:rsid w:val="005C67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5C67D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5C67D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C67D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C67D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C67D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5C67DA"/>
    <w:pPr>
      <w:keepNext/>
      <w:widowControl w:val="0"/>
      <w:wordWrap w:val="0"/>
      <w:jc w:val="both"/>
      <w:outlineLvl w:val="7"/>
    </w:pPr>
    <w:rPr>
      <w:b/>
      <w:bCs/>
      <w:kern w:val="2"/>
      <w:sz w:val="20"/>
      <w:szCs w:val="20"/>
      <w:lang w:eastAsia="ko-KR"/>
    </w:rPr>
  </w:style>
  <w:style w:type="paragraph" w:styleId="Heading9">
    <w:name w:val="heading 9"/>
    <w:basedOn w:val="Normal"/>
    <w:next w:val="Normal"/>
    <w:link w:val="Heading9Char"/>
    <w:semiHidden/>
    <w:unhideWhenUsed/>
    <w:qFormat/>
    <w:rsid w:val="005C67D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7DA"/>
    <w:rPr>
      <w:rFonts w:ascii="Times New Roman" w:eastAsia="BatangChe" w:hAnsi="Times New Roman" w:cs="Times New Roman"/>
      <w:b/>
      <w:bCs/>
      <w:sz w:val="24"/>
      <w:szCs w:val="24"/>
      <w:u w:val="single"/>
      <w:lang w:val="en-US"/>
    </w:rPr>
  </w:style>
  <w:style w:type="character" w:customStyle="1" w:styleId="Heading2Char">
    <w:name w:val="Heading 2 Char"/>
    <w:basedOn w:val="DefaultParagraphFont"/>
    <w:link w:val="Heading2"/>
    <w:rsid w:val="005C67D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semiHidden/>
    <w:rsid w:val="005C67D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semiHidden/>
    <w:rsid w:val="005C67DA"/>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semiHidden/>
    <w:rsid w:val="005C67DA"/>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semiHidden/>
    <w:rsid w:val="005C67DA"/>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semiHidden/>
    <w:rsid w:val="005C67DA"/>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5C67DA"/>
    <w:rPr>
      <w:rFonts w:ascii="Times New Roman" w:eastAsia="BatangChe" w:hAnsi="Times New Roman" w:cs="Times New Roman"/>
      <w:b/>
      <w:bCs/>
      <w:kern w:val="2"/>
      <w:sz w:val="20"/>
      <w:szCs w:val="20"/>
      <w:lang w:val="en-US" w:eastAsia="ko-KR"/>
    </w:rPr>
  </w:style>
  <w:style w:type="character" w:customStyle="1" w:styleId="Heading9Char">
    <w:name w:val="Heading 9 Char"/>
    <w:basedOn w:val="DefaultParagraphFont"/>
    <w:link w:val="Heading9"/>
    <w:semiHidden/>
    <w:rsid w:val="005C67DA"/>
    <w:rPr>
      <w:rFonts w:asciiTheme="majorHAnsi" w:eastAsiaTheme="majorEastAsia" w:hAnsiTheme="majorHAnsi" w:cstheme="majorBidi"/>
      <w:i/>
      <w:iCs/>
      <w:color w:val="272727" w:themeColor="text1" w:themeTint="D8"/>
      <w:sz w:val="21"/>
      <w:szCs w:val="21"/>
      <w:lang w:val="en-US"/>
    </w:rPr>
  </w:style>
  <w:style w:type="paragraph" w:styleId="Footer">
    <w:name w:val="footer"/>
    <w:basedOn w:val="Normal"/>
    <w:link w:val="FooterChar"/>
    <w:rsid w:val="005C67DA"/>
    <w:pPr>
      <w:tabs>
        <w:tab w:val="center" w:pos="4320"/>
        <w:tab w:val="right" w:pos="8640"/>
      </w:tabs>
    </w:pPr>
  </w:style>
  <w:style w:type="character" w:customStyle="1" w:styleId="FooterChar">
    <w:name w:val="Footer Char"/>
    <w:basedOn w:val="DefaultParagraphFont"/>
    <w:link w:val="Footer"/>
    <w:rsid w:val="005C67DA"/>
    <w:rPr>
      <w:rFonts w:ascii="Times New Roman" w:eastAsia="BatangChe" w:hAnsi="Times New Roman" w:cs="Times New Roman"/>
      <w:sz w:val="24"/>
      <w:szCs w:val="24"/>
      <w:lang w:val="en-US"/>
    </w:rPr>
  </w:style>
  <w:style w:type="paragraph" w:customStyle="1" w:styleId="a">
    <w:name w:val="표"/>
    <w:basedOn w:val="Normal"/>
    <w:next w:val="Normal"/>
    <w:autoRedefine/>
    <w:rsid w:val="005C67DA"/>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5C67DA"/>
  </w:style>
  <w:style w:type="paragraph" w:styleId="NormalIndent">
    <w:name w:val="Normal Indent"/>
    <w:basedOn w:val="Normal"/>
    <w:rsid w:val="005C67DA"/>
    <w:pPr>
      <w:widowControl w:val="0"/>
      <w:wordWrap w:val="0"/>
      <w:ind w:left="851"/>
      <w:jc w:val="both"/>
    </w:pPr>
    <w:rPr>
      <w:kern w:val="2"/>
      <w:sz w:val="20"/>
      <w:szCs w:val="20"/>
      <w:lang w:eastAsia="ko-KR"/>
    </w:rPr>
  </w:style>
  <w:style w:type="paragraph" w:customStyle="1" w:styleId="Note">
    <w:name w:val="Note"/>
    <w:basedOn w:val="Normal"/>
    <w:link w:val="NoteChar"/>
    <w:rsid w:val="005C67DA"/>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5C67DA"/>
    <w:pPr>
      <w:tabs>
        <w:tab w:val="center" w:pos="4320"/>
        <w:tab w:val="right" w:pos="8640"/>
      </w:tabs>
    </w:pPr>
  </w:style>
  <w:style w:type="character" w:customStyle="1" w:styleId="HeaderChar">
    <w:name w:val="Header Char"/>
    <w:basedOn w:val="DefaultParagraphFont"/>
    <w:link w:val="Header"/>
    <w:rsid w:val="005C67DA"/>
    <w:rPr>
      <w:rFonts w:ascii="Times New Roman" w:eastAsia="BatangChe" w:hAnsi="Times New Roman" w:cs="Times New Roman"/>
      <w:sz w:val="24"/>
      <w:szCs w:val="24"/>
      <w:lang w:val="en-US"/>
    </w:rPr>
  </w:style>
  <w:style w:type="paragraph" w:customStyle="1" w:styleId="Equation">
    <w:name w:val="Equation"/>
    <w:basedOn w:val="Normal"/>
    <w:rsid w:val="005C67DA"/>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5C67DA"/>
    <w:pPr>
      <w:ind w:left="720"/>
    </w:pPr>
  </w:style>
  <w:style w:type="character" w:styleId="Strong">
    <w:name w:val="Strong"/>
    <w:basedOn w:val="DefaultParagraphFont"/>
    <w:uiPriority w:val="22"/>
    <w:qFormat/>
    <w:rsid w:val="005C67DA"/>
    <w:rPr>
      <w:b/>
      <w:bCs/>
    </w:rPr>
  </w:style>
  <w:style w:type="paragraph" w:styleId="BalloonText">
    <w:name w:val="Balloon Text"/>
    <w:basedOn w:val="Normal"/>
    <w:link w:val="BalloonTextChar"/>
    <w:rsid w:val="005C67DA"/>
    <w:rPr>
      <w:rFonts w:ascii="Tahoma" w:hAnsi="Tahoma" w:cs="Tahoma"/>
      <w:sz w:val="16"/>
      <w:szCs w:val="16"/>
    </w:rPr>
  </w:style>
  <w:style w:type="character" w:customStyle="1" w:styleId="BalloonTextChar">
    <w:name w:val="Balloon Text Char"/>
    <w:basedOn w:val="DefaultParagraphFont"/>
    <w:link w:val="BalloonText"/>
    <w:rsid w:val="005C67DA"/>
    <w:rPr>
      <w:rFonts w:ascii="Tahoma" w:eastAsia="BatangChe" w:hAnsi="Tahoma" w:cs="Tahoma"/>
      <w:sz w:val="16"/>
      <w:szCs w:val="16"/>
      <w:lang w:val="en-US"/>
    </w:rPr>
  </w:style>
  <w:style w:type="character" w:styleId="Hyperlink">
    <w:name w:val="Hyperlink"/>
    <w:basedOn w:val="DefaultParagraphFont"/>
    <w:uiPriority w:val="99"/>
    <w:unhideWhenUsed/>
    <w:rsid w:val="005C67DA"/>
    <w:rPr>
      <w:color w:val="0563C1"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rsid w:val="005C67D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5C67DA"/>
    <w:rPr>
      <w:rFonts w:ascii="Times New Roman" w:eastAsia="BatangChe" w:hAnsi="Times New Roman" w:cs="Times New Roman"/>
      <w:sz w:val="20"/>
      <w:szCs w:val="20"/>
      <w:lang w:val="en-US"/>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rsid w:val="005C67DA"/>
    <w:rPr>
      <w:vertAlign w:val="superscript"/>
    </w:rPr>
  </w:style>
  <w:style w:type="paragraph" w:customStyle="1" w:styleId="enumlev1">
    <w:name w:val="enumlev1"/>
    <w:basedOn w:val="Normal"/>
    <w:link w:val="enumlev1Char"/>
    <w:qFormat/>
    <w:rsid w:val="005C67DA"/>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5C67DA"/>
    <w:rPr>
      <w:rFonts w:ascii="Times New Roman" w:eastAsia="MS Mincho" w:hAnsi="Times New Roman" w:cs="Times New Roman"/>
      <w:sz w:val="24"/>
      <w:szCs w:val="20"/>
    </w:rPr>
  </w:style>
  <w:style w:type="character" w:customStyle="1" w:styleId="ListParagraphChar">
    <w:name w:val="List Paragraph Char"/>
    <w:basedOn w:val="DefaultParagraphFont"/>
    <w:link w:val="ListParagraph"/>
    <w:uiPriority w:val="34"/>
    <w:locked/>
    <w:rsid w:val="005C67DA"/>
    <w:rPr>
      <w:rFonts w:ascii="Times New Roman" w:eastAsia="BatangChe" w:hAnsi="Times New Roman" w:cs="Times New Roman"/>
      <w:sz w:val="24"/>
      <w:szCs w:val="24"/>
      <w:lang w:val="en-US"/>
    </w:rPr>
  </w:style>
  <w:style w:type="paragraph" w:customStyle="1" w:styleId="Default">
    <w:name w:val="Default"/>
    <w:rsid w:val="00B65891"/>
    <w:pPr>
      <w:autoSpaceDE w:val="0"/>
      <w:autoSpaceDN w:val="0"/>
      <w:adjustRightInd w:val="0"/>
      <w:spacing w:after="0" w:line="240" w:lineRule="auto"/>
    </w:pPr>
    <w:rPr>
      <w:rFonts w:ascii="Times New Roman" w:eastAsia="Batang" w:hAnsi="Times New Roman" w:cs="Times New Roman"/>
      <w:color w:val="000000"/>
      <w:sz w:val="24"/>
      <w:szCs w:val="24"/>
      <w:lang w:val="en-US"/>
    </w:rPr>
  </w:style>
  <w:style w:type="paragraph" w:styleId="NormalWeb">
    <w:name w:val="Normal (Web)"/>
    <w:basedOn w:val="Normal"/>
    <w:uiPriority w:val="99"/>
    <w:unhideWhenUsed/>
    <w:rsid w:val="005C67DA"/>
    <w:pPr>
      <w:spacing w:before="100" w:beforeAutospacing="1" w:after="100" w:afterAutospacing="1"/>
    </w:pPr>
    <w:rPr>
      <w:rFonts w:eastAsia="Times New Roman"/>
    </w:rPr>
  </w:style>
  <w:style w:type="table" w:customStyle="1" w:styleId="2">
    <w:name w:val="表 (格子)2"/>
    <w:basedOn w:val="TableNormal"/>
    <w:next w:val="TableGrid"/>
    <w:rsid w:val="005C67DA"/>
    <w:pPr>
      <w:spacing w:after="0" w:line="240" w:lineRule="auto"/>
    </w:pPr>
    <w:rPr>
      <w:rFonts w:ascii="CG Times" w:hAnsi="CG Times"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C67DA"/>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5C67DA"/>
    <w:rPr>
      <w:b/>
      <w:bCs/>
    </w:rPr>
  </w:style>
  <w:style w:type="character" w:customStyle="1" w:styleId="ECCParagraph">
    <w:name w:val="ECC Paragraph"/>
    <w:basedOn w:val="DefaultParagraphFont"/>
    <w:uiPriority w:val="1"/>
    <w:qFormat/>
    <w:rsid w:val="005C67DA"/>
    <w:rPr>
      <w:rFonts w:ascii="Arial" w:hAnsi="Arial" w:cs="Arial" w:hint="default"/>
      <w:noProof w:val="0"/>
      <w:sz w:val="20"/>
      <w:bdr w:val="none" w:sz="0" w:space="0" w:color="auto" w:frame="1"/>
      <w:lang w:val="en-GB"/>
    </w:rPr>
  </w:style>
  <w:style w:type="paragraph" w:styleId="ListBullet">
    <w:name w:val="List Bullet"/>
    <w:aliases w:val="List Bullet 1"/>
    <w:basedOn w:val="Normal"/>
    <w:qFormat/>
    <w:rsid w:val="005C67DA"/>
    <w:pPr>
      <w:tabs>
        <w:tab w:val="num" w:pos="295"/>
      </w:tabs>
      <w:spacing w:after="80" w:line="240" w:lineRule="atLeast"/>
      <w:ind w:left="295" w:hanging="295"/>
    </w:pPr>
    <w:rPr>
      <w:rFonts w:ascii="Arial" w:eastAsia="Times New Roman" w:hAnsi="Arial"/>
      <w:sz w:val="20"/>
      <w:lang w:val="en-AU" w:eastAsia="en-AU"/>
    </w:rPr>
  </w:style>
  <w:style w:type="character" w:customStyle="1" w:styleId="UnresolvedMention1">
    <w:name w:val="Unresolved Mention1"/>
    <w:basedOn w:val="DefaultParagraphFont"/>
    <w:uiPriority w:val="99"/>
    <w:semiHidden/>
    <w:unhideWhenUsed/>
    <w:rsid w:val="005C67DA"/>
    <w:rPr>
      <w:color w:val="605E5C"/>
      <w:shd w:val="clear" w:color="auto" w:fill="E1DFDD"/>
    </w:rPr>
  </w:style>
  <w:style w:type="character" w:styleId="FollowedHyperlink">
    <w:name w:val="FollowedHyperlink"/>
    <w:basedOn w:val="DefaultParagraphFont"/>
    <w:semiHidden/>
    <w:unhideWhenUsed/>
    <w:rsid w:val="005C67DA"/>
    <w:rPr>
      <w:color w:val="954F72" w:themeColor="followedHyperlink"/>
      <w:u w:val="single"/>
    </w:rPr>
  </w:style>
  <w:style w:type="character" w:customStyle="1" w:styleId="TabletextChar">
    <w:name w:val="Table_text Char"/>
    <w:link w:val="Tabletext"/>
    <w:locked/>
    <w:rsid w:val="005C67DA"/>
  </w:style>
  <w:style w:type="paragraph" w:customStyle="1" w:styleId="Tabletext">
    <w:name w:val="Table_text"/>
    <w:basedOn w:val="Normal"/>
    <w:link w:val="TabletextChar"/>
    <w:qFormat/>
    <w:rsid w:val="00B6589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heme="minorHAnsi" w:eastAsiaTheme="minorHAnsi" w:hAnsiTheme="minorHAnsi" w:cstheme="minorBidi"/>
      <w:sz w:val="22"/>
      <w:szCs w:val="22"/>
      <w:lang w:val="en-GB"/>
    </w:rPr>
  </w:style>
  <w:style w:type="paragraph" w:styleId="Revision">
    <w:name w:val="Revision"/>
    <w:hidden/>
    <w:uiPriority w:val="99"/>
    <w:semiHidden/>
    <w:rsid w:val="00B65891"/>
    <w:pPr>
      <w:spacing w:after="0" w:line="240" w:lineRule="auto"/>
    </w:pPr>
    <w:rPr>
      <w:rFonts w:ascii="Times New Roman" w:eastAsia="BatangChe" w:hAnsi="Times New Roman" w:cs="Times New Roman"/>
      <w:sz w:val="24"/>
      <w:szCs w:val="24"/>
      <w:lang w:val="en-US"/>
    </w:rPr>
  </w:style>
  <w:style w:type="character" w:styleId="PlaceholderText">
    <w:name w:val="Placeholder Text"/>
    <w:basedOn w:val="DefaultParagraphFont"/>
    <w:uiPriority w:val="99"/>
    <w:semiHidden/>
    <w:rsid w:val="005C67DA"/>
    <w:rPr>
      <w:color w:val="808080"/>
    </w:rPr>
  </w:style>
  <w:style w:type="character" w:styleId="CommentReference">
    <w:name w:val="annotation reference"/>
    <w:basedOn w:val="DefaultParagraphFont"/>
    <w:semiHidden/>
    <w:unhideWhenUsed/>
    <w:rsid w:val="005C67DA"/>
    <w:rPr>
      <w:sz w:val="16"/>
      <w:szCs w:val="16"/>
    </w:rPr>
  </w:style>
  <w:style w:type="paragraph" w:styleId="CommentText">
    <w:name w:val="annotation text"/>
    <w:basedOn w:val="Normal"/>
    <w:link w:val="CommentTextChar"/>
    <w:unhideWhenUsed/>
    <w:rsid w:val="005C67DA"/>
    <w:rPr>
      <w:sz w:val="20"/>
      <w:szCs w:val="20"/>
    </w:rPr>
  </w:style>
  <w:style w:type="character" w:customStyle="1" w:styleId="CommentTextChar">
    <w:name w:val="Comment Text Char"/>
    <w:basedOn w:val="DefaultParagraphFont"/>
    <w:link w:val="CommentText"/>
    <w:rsid w:val="005C67DA"/>
    <w:rPr>
      <w:rFonts w:ascii="Times New Roman" w:eastAsia="BatangChe"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5C67DA"/>
    <w:rPr>
      <w:b/>
      <w:bCs/>
    </w:rPr>
  </w:style>
  <w:style w:type="character" w:customStyle="1" w:styleId="CommentSubjectChar">
    <w:name w:val="Comment Subject Char"/>
    <w:basedOn w:val="CommentTextChar"/>
    <w:link w:val="CommentSubject"/>
    <w:semiHidden/>
    <w:rsid w:val="005C67DA"/>
    <w:rPr>
      <w:rFonts w:ascii="Times New Roman" w:eastAsia="BatangChe" w:hAnsi="Times New Roman" w:cs="Times New Roman"/>
      <w:b/>
      <w:bCs/>
      <w:sz w:val="20"/>
      <w:szCs w:val="20"/>
      <w:lang w:val="en-US"/>
    </w:rPr>
  </w:style>
  <w:style w:type="paragraph" w:styleId="ListBullet2">
    <w:name w:val="List Bullet 2"/>
    <w:basedOn w:val="Normal"/>
    <w:semiHidden/>
    <w:unhideWhenUsed/>
    <w:rsid w:val="005C67DA"/>
    <w:pPr>
      <w:numPr>
        <w:numId w:val="4"/>
      </w:numPr>
      <w:contextualSpacing/>
    </w:pPr>
  </w:style>
  <w:style w:type="paragraph" w:styleId="NoSpacing">
    <w:name w:val="No Spacing"/>
    <w:uiPriority w:val="1"/>
    <w:qFormat/>
    <w:rsid w:val="005C67DA"/>
    <w:pPr>
      <w:spacing w:after="0" w:line="240" w:lineRule="auto"/>
    </w:pPr>
    <w:rPr>
      <w:rFonts w:ascii="Times New Roman" w:eastAsia="BatangChe" w:hAnsi="Times New Roman" w:cs="Times New Roman"/>
      <w:sz w:val="24"/>
      <w:szCs w:val="24"/>
      <w:lang w:val="en-US"/>
    </w:rPr>
  </w:style>
  <w:style w:type="paragraph" w:customStyle="1" w:styleId="TableTextS5">
    <w:name w:val="Table_TextS5"/>
    <w:basedOn w:val="Normal"/>
    <w:rsid w:val="005C67DA"/>
    <w:pPr>
      <w:tabs>
        <w:tab w:val="left" w:pos="170"/>
        <w:tab w:val="left" w:pos="567"/>
        <w:tab w:val="left" w:pos="737"/>
        <w:tab w:val="left" w:pos="2977"/>
        <w:tab w:val="left" w:pos="3266"/>
      </w:tabs>
      <w:overflowPunct w:val="0"/>
      <w:autoSpaceDE w:val="0"/>
      <w:autoSpaceDN w:val="0"/>
      <w:adjustRightInd w:val="0"/>
      <w:spacing w:before="40" w:after="40"/>
      <w:ind w:left="170" w:hanging="170"/>
    </w:pPr>
    <w:rPr>
      <w:rFonts w:eastAsia="Times New Roman"/>
      <w:sz w:val="20"/>
      <w:szCs w:val="20"/>
      <w:lang w:val="en-GB"/>
    </w:rPr>
  </w:style>
  <w:style w:type="paragraph" w:customStyle="1" w:styleId="ListBulletLast">
    <w:name w:val="List Bullet Last"/>
    <w:basedOn w:val="ListBullet"/>
    <w:qFormat/>
    <w:rsid w:val="005C67DA"/>
    <w:pPr>
      <w:spacing w:after="240"/>
    </w:pPr>
    <w:rPr>
      <w:rFonts w:cs="Arial"/>
    </w:rPr>
  </w:style>
  <w:style w:type="character" w:customStyle="1" w:styleId="tlid-translation">
    <w:name w:val="tlid-translation"/>
    <w:basedOn w:val="DefaultParagraphFont"/>
    <w:rsid w:val="005C67DA"/>
  </w:style>
  <w:style w:type="paragraph" w:customStyle="1" w:styleId="Header1">
    <w:name w:val="Header 1"/>
    <w:basedOn w:val="Heading1"/>
    <w:link w:val="Header1Char"/>
    <w:qFormat/>
    <w:rsid w:val="008D4FB3"/>
    <w:pPr>
      <w:numPr>
        <w:numId w:val="3"/>
      </w:numPr>
      <w:spacing w:after="120"/>
      <w:jc w:val="both"/>
    </w:pPr>
    <w:rPr>
      <w:u w:val="none"/>
      <w:lang w:val="en-GB"/>
    </w:rPr>
  </w:style>
  <w:style w:type="paragraph" w:customStyle="1" w:styleId="Header2">
    <w:name w:val="Header 2"/>
    <w:basedOn w:val="Heading2"/>
    <w:link w:val="Header2Char"/>
    <w:qFormat/>
    <w:rsid w:val="007E52C1"/>
    <w:pPr>
      <w:keepNext w:val="0"/>
      <w:widowControl w:val="0"/>
      <w:numPr>
        <w:ilvl w:val="1"/>
        <w:numId w:val="3"/>
      </w:numPr>
      <w:tabs>
        <w:tab w:val="left" w:pos="1134"/>
        <w:tab w:val="left" w:pos="1871"/>
        <w:tab w:val="left" w:pos="2268"/>
      </w:tabs>
      <w:overflowPunct w:val="0"/>
      <w:autoSpaceDE w:val="0"/>
      <w:autoSpaceDN w:val="0"/>
      <w:adjustRightInd w:val="0"/>
      <w:spacing w:before="0" w:after="120"/>
      <w:jc w:val="both"/>
      <w:textAlignment w:val="baseline"/>
    </w:pPr>
    <w:rPr>
      <w:rFonts w:ascii="Times New Roman" w:eastAsia="MS Mincho" w:hAnsi="Times New Roman" w:cs="Times New Roman"/>
      <w:b/>
      <w:bCs/>
      <w:color w:val="auto"/>
      <w:sz w:val="24"/>
      <w:szCs w:val="18"/>
      <w:lang w:val="en-GB" w:eastAsia="ja-JP"/>
    </w:rPr>
  </w:style>
  <w:style w:type="character" w:customStyle="1" w:styleId="Header1Char">
    <w:name w:val="Header 1 Char"/>
    <w:basedOn w:val="Heading1Char"/>
    <w:link w:val="Header1"/>
    <w:rsid w:val="008D4FB3"/>
    <w:rPr>
      <w:rFonts w:ascii="Times New Roman" w:eastAsia="BatangChe" w:hAnsi="Times New Roman" w:cs="Times New Roman"/>
      <w:b/>
      <w:bCs/>
      <w:sz w:val="24"/>
      <w:szCs w:val="24"/>
      <w:u w:val="single"/>
      <w:lang w:val="en-US"/>
    </w:rPr>
  </w:style>
  <w:style w:type="paragraph" w:customStyle="1" w:styleId="Header3">
    <w:name w:val="Header 3"/>
    <w:basedOn w:val="ListParagraph"/>
    <w:link w:val="Header3Char"/>
    <w:qFormat/>
    <w:rsid w:val="00D866B9"/>
    <w:pPr>
      <w:numPr>
        <w:ilvl w:val="2"/>
        <w:numId w:val="9"/>
      </w:numPr>
    </w:pPr>
    <w:rPr>
      <w:b/>
      <w:bCs/>
    </w:rPr>
  </w:style>
  <w:style w:type="character" w:customStyle="1" w:styleId="Header2Char">
    <w:name w:val="Header 2 Char"/>
    <w:basedOn w:val="Heading1Char"/>
    <w:link w:val="Header2"/>
    <w:rsid w:val="007E52C1"/>
    <w:rPr>
      <w:rFonts w:ascii="Times New Roman" w:eastAsia="BatangChe" w:hAnsi="Times New Roman" w:cs="Times New Roman"/>
      <w:b/>
      <w:bCs/>
      <w:sz w:val="24"/>
      <w:szCs w:val="18"/>
      <w:u w:val="single"/>
      <w:lang w:val="en-US" w:eastAsia="ja-JP"/>
    </w:rPr>
  </w:style>
  <w:style w:type="character" w:customStyle="1" w:styleId="Header3Char">
    <w:name w:val="Header 3 Char"/>
    <w:basedOn w:val="ListParagraphChar"/>
    <w:link w:val="Header3"/>
    <w:rsid w:val="00D866B9"/>
    <w:rPr>
      <w:rFonts w:ascii="Times New Roman" w:eastAsia="BatangChe" w:hAnsi="Times New Roman" w:cs="Times New Roman"/>
      <w:b/>
      <w:bCs/>
      <w:sz w:val="24"/>
      <w:szCs w:val="24"/>
      <w:lang w:val="en-US"/>
    </w:rPr>
  </w:style>
  <w:style w:type="character" w:styleId="LineNumber">
    <w:name w:val="line number"/>
    <w:basedOn w:val="DefaultParagraphFont"/>
    <w:uiPriority w:val="99"/>
    <w:semiHidden/>
    <w:unhideWhenUsed/>
    <w:rsid w:val="00153782"/>
  </w:style>
  <w:style w:type="paragraph" w:styleId="EndnoteText">
    <w:name w:val="endnote text"/>
    <w:basedOn w:val="Normal"/>
    <w:link w:val="EndnoteTextChar"/>
    <w:uiPriority w:val="99"/>
    <w:semiHidden/>
    <w:unhideWhenUsed/>
    <w:rsid w:val="00D70F0F"/>
    <w:rPr>
      <w:sz w:val="20"/>
      <w:szCs w:val="20"/>
    </w:rPr>
  </w:style>
  <w:style w:type="character" w:customStyle="1" w:styleId="EndnoteTextChar">
    <w:name w:val="Endnote Text Char"/>
    <w:basedOn w:val="DefaultParagraphFont"/>
    <w:link w:val="EndnoteText"/>
    <w:uiPriority w:val="99"/>
    <w:semiHidden/>
    <w:rsid w:val="00D70F0F"/>
    <w:rPr>
      <w:rFonts w:ascii="Times New Roman" w:eastAsia="BatangChe" w:hAnsi="Times New Roman" w:cs="Times New Roman"/>
      <w:sz w:val="20"/>
      <w:szCs w:val="20"/>
      <w:lang w:val="en-US"/>
    </w:rPr>
  </w:style>
  <w:style w:type="character" w:styleId="EndnoteReference">
    <w:name w:val="endnote reference"/>
    <w:basedOn w:val="DefaultParagraphFont"/>
    <w:uiPriority w:val="99"/>
    <w:semiHidden/>
    <w:unhideWhenUsed/>
    <w:rsid w:val="00D70F0F"/>
    <w:rPr>
      <w:vertAlign w:val="superscript"/>
    </w:rPr>
  </w:style>
  <w:style w:type="character" w:customStyle="1" w:styleId="Artdef">
    <w:name w:val="Art_def"/>
    <w:basedOn w:val="DefaultParagraphFont"/>
    <w:rsid w:val="005D703B"/>
    <w:rPr>
      <w:rFonts w:ascii="Times New Roman" w:hAnsi="Times New Roman"/>
      <w:b/>
    </w:rPr>
  </w:style>
  <w:style w:type="character" w:customStyle="1" w:styleId="fontstyle01">
    <w:name w:val="fontstyle01"/>
    <w:basedOn w:val="DefaultParagraphFont"/>
    <w:rsid w:val="005D703B"/>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5D703B"/>
    <w:rPr>
      <w:rFonts w:ascii="TimesNewRomanPSMT" w:hAnsi="TimesNewRomanPSMT" w:hint="default"/>
      <w:b w:val="0"/>
      <w:bCs w:val="0"/>
      <w:i w:val="0"/>
      <w:iCs w:val="0"/>
      <w:color w:val="000000"/>
      <w:sz w:val="24"/>
      <w:szCs w:val="24"/>
    </w:rPr>
  </w:style>
  <w:style w:type="character" w:customStyle="1" w:styleId="NoteChar">
    <w:name w:val="Note Char"/>
    <w:basedOn w:val="DefaultParagraphFont"/>
    <w:link w:val="Note"/>
    <w:locked/>
    <w:rsid w:val="005D703B"/>
    <w:rPr>
      <w:rFonts w:ascii="Times New Roman" w:eastAsia="BatangChe" w:hAnsi="Times New Roman" w:cs="Times New Roman"/>
      <w:noProof/>
      <w:sz w:val="20"/>
      <w:szCs w:val="20"/>
      <w:lang w:val="en-US" w:eastAsia="ko-KR"/>
    </w:rPr>
  </w:style>
  <w:style w:type="character" w:customStyle="1" w:styleId="ArtrefBold">
    <w:name w:val="Art_ref + Bold"/>
    <w:basedOn w:val="DefaultParagraphFont"/>
    <w:rsid w:val="005D703B"/>
    <w:rPr>
      <w:b/>
      <w:bCs/>
      <w:color w:val="auto"/>
    </w:rPr>
  </w:style>
  <w:style w:type="character" w:customStyle="1" w:styleId="ApprefBold">
    <w:name w:val="App_ref + Bold"/>
    <w:basedOn w:val="DefaultParagraphFont"/>
    <w:qFormat/>
    <w:rsid w:val="005D703B"/>
    <w:rPr>
      <w:b/>
      <w:bCs/>
      <w:color w:val="000000"/>
    </w:rPr>
  </w:style>
  <w:style w:type="paragraph" w:styleId="TOCHeading">
    <w:name w:val="TOC Heading"/>
    <w:basedOn w:val="Heading1"/>
    <w:next w:val="Normal"/>
    <w:uiPriority w:val="39"/>
    <w:unhideWhenUsed/>
    <w:qFormat/>
    <w:rsid w:val="001E78C4"/>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rsid w:val="005D344B"/>
    <w:pPr>
      <w:tabs>
        <w:tab w:val="left" w:pos="450"/>
        <w:tab w:val="left" w:pos="1260"/>
        <w:tab w:val="right" w:leader="dot" w:pos="9163"/>
      </w:tabs>
      <w:spacing w:after="100"/>
      <w:ind w:left="450" w:hanging="450"/>
    </w:pPr>
  </w:style>
  <w:style w:type="paragraph" w:styleId="TOC2">
    <w:name w:val="toc 2"/>
    <w:basedOn w:val="Normal"/>
    <w:next w:val="Normal"/>
    <w:autoRedefine/>
    <w:uiPriority w:val="39"/>
    <w:unhideWhenUsed/>
    <w:rsid w:val="001E78C4"/>
    <w:pPr>
      <w:tabs>
        <w:tab w:val="left" w:pos="990"/>
        <w:tab w:val="right" w:leader="dot" w:pos="9163"/>
      </w:tabs>
      <w:spacing w:after="100"/>
      <w:ind w:left="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054198">
      <w:bodyDiv w:val="1"/>
      <w:marLeft w:val="0"/>
      <w:marRight w:val="0"/>
      <w:marTop w:val="0"/>
      <w:marBottom w:val="0"/>
      <w:divBdr>
        <w:top w:val="none" w:sz="0" w:space="0" w:color="auto"/>
        <w:left w:val="none" w:sz="0" w:space="0" w:color="auto"/>
        <w:bottom w:val="none" w:sz="0" w:space="0" w:color="auto"/>
        <w:right w:val="none" w:sz="0" w:space="0" w:color="auto"/>
      </w:divBdr>
    </w:div>
    <w:div w:id="204870735">
      <w:bodyDiv w:val="1"/>
      <w:marLeft w:val="0"/>
      <w:marRight w:val="0"/>
      <w:marTop w:val="0"/>
      <w:marBottom w:val="0"/>
      <w:divBdr>
        <w:top w:val="none" w:sz="0" w:space="0" w:color="auto"/>
        <w:left w:val="none" w:sz="0" w:space="0" w:color="auto"/>
        <w:bottom w:val="none" w:sz="0" w:space="0" w:color="auto"/>
        <w:right w:val="none" w:sz="0" w:space="0" w:color="auto"/>
      </w:divBdr>
    </w:div>
    <w:div w:id="252009137">
      <w:bodyDiv w:val="1"/>
      <w:marLeft w:val="0"/>
      <w:marRight w:val="0"/>
      <w:marTop w:val="0"/>
      <w:marBottom w:val="0"/>
      <w:divBdr>
        <w:top w:val="none" w:sz="0" w:space="0" w:color="auto"/>
        <w:left w:val="none" w:sz="0" w:space="0" w:color="auto"/>
        <w:bottom w:val="none" w:sz="0" w:space="0" w:color="auto"/>
        <w:right w:val="none" w:sz="0" w:space="0" w:color="auto"/>
      </w:divBdr>
    </w:div>
    <w:div w:id="655381285">
      <w:bodyDiv w:val="1"/>
      <w:marLeft w:val="0"/>
      <w:marRight w:val="0"/>
      <w:marTop w:val="0"/>
      <w:marBottom w:val="0"/>
      <w:divBdr>
        <w:top w:val="none" w:sz="0" w:space="0" w:color="auto"/>
        <w:left w:val="none" w:sz="0" w:space="0" w:color="auto"/>
        <w:bottom w:val="none" w:sz="0" w:space="0" w:color="auto"/>
        <w:right w:val="none" w:sz="0" w:space="0" w:color="auto"/>
      </w:divBdr>
    </w:div>
    <w:div w:id="873932489">
      <w:bodyDiv w:val="1"/>
      <w:marLeft w:val="0"/>
      <w:marRight w:val="0"/>
      <w:marTop w:val="0"/>
      <w:marBottom w:val="0"/>
      <w:divBdr>
        <w:top w:val="none" w:sz="0" w:space="0" w:color="auto"/>
        <w:left w:val="none" w:sz="0" w:space="0" w:color="auto"/>
        <w:bottom w:val="none" w:sz="0" w:space="0" w:color="auto"/>
        <w:right w:val="none" w:sz="0" w:space="0" w:color="auto"/>
      </w:divBdr>
    </w:div>
    <w:div w:id="1174415639">
      <w:bodyDiv w:val="1"/>
      <w:marLeft w:val="0"/>
      <w:marRight w:val="0"/>
      <w:marTop w:val="0"/>
      <w:marBottom w:val="0"/>
      <w:divBdr>
        <w:top w:val="none" w:sz="0" w:space="0" w:color="auto"/>
        <w:left w:val="none" w:sz="0" w:space="0" w:color="auto"/>
        <w:bottom w:val="none" w:sz="0" w:space="0" w:color="auto"/>
        <w:right w:val="none" w:sz="0" w:space="0" w:color="auto"/>
      </w:divBdr>
    </w:div>
    <w:div w:id="1430390291">
      <w:bodyDiv w:val="1"/>
      <w:marLeft w:val="0"/>
      <w:marRight w:val="0"/>
      <w:marTop w:val="0"/>
      <w:marBottom w:val="0"/>
      <w:divBdr>
        <w:top w:val="none" w:sz="0" w:space="0" w:color="auto"/>
        <w:left w:val="none" w:sz="0" w:space="0" w:color="auto"/>
        <w:bottom w:val="none" w:sz="0" w:space="0" w:color="auto"/>
        <w:right w:val="none" w:sz="0" w:space="0" w:color="auto"/>
      </w:divBdr>
    </w:div>
    <w:div w:id="1554657831">
      <w:bodyDiv w:val="1"/>
      <w:marLeft w:val="0"/>
      <w:marRight w:val="0"/>
      <w:marTop w:val="0"/>
      <w:marBottom w:val="0"/>
      <w:divBdr>
        <w:top w:val="none" w:sz="0" w:space="0" w:color="auto"/>
        <w:left w:val="none" w:sz="0" w:space="0" w:color="auto"/>
        <w:bottom w:val="none" w:sz="0" w:space="0" w:color="auto"/>
        <w:right w:val="none" w:sz="0" w:space="0" w:color="auto"/>
      </w:divBdr>
    </w:div>
    <w:div w:id="2057971714">
      <w:bodyDiv w:val="1"/>
      <w:marLeft w:val="0"/>
      <w:marRight w:val="0"/>
      <w:marTop w:val="0"/>
      <w:marBottom w:val="0"/>
      <w:divBdr>
        <w:top w:val="none" w:sz="0" w:space="0" w:color="auto"/>
        <w:left w:val="none" w:sz="0" w:space="0" w:color="auto"/>
        <w:bottom w:val="none" w:sz="0" w:space="0" w:color="auto"/>
        <w:right w:val="none" w:sz="0" w:space="0" w:color="auto"/>
      </w:divBdr>
    </w:div>
    <w:div w:id="2095778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docdb.cept.org/download/1462" TargetMode="External"/><Relationship Id="rId13" Type="http://schemas.openxmlformats.org/officeDocument/2006/relationships/hyperlink" Target="https://www.etsi.org/deliver/etsi_tr/103300_103399/103399/01.01.01_60/tr_103399v010101p.pdf" TargetMode="External"/><Relationship Id="rId3" Type="http://schemas.openxmlformats.org/officeDocument/2006/relationships/hyperlink" Target="https://docdb.cept.org/download/3422" TargetMode="External"/><Relationship Id="rId7" Type="http://schemas.openxmlformats.org/officeDocument/2006/relationships/hyperlink" Target="https://docdb.cept.org/download/1330" TargetMode="External"/><Relationship Id="rId12" Type="http://schemas.openxmlformats.org/officeDocument/2006/relationships/hyperlink" Target="https://www.etsi.org/deliver/etsi_en/303900_303999/303980/01.02.00_20/en_303980v010200a.pdf" TargetMode="External"/><Relationship Id="rId2" Type="http://schemas.openxmlformats.org/officeDocument/2006/relationships/hyperlink" Target="https://docdb.cept.org/download/1462" TargetMode="External"/><Relationship Id="rId1" Type="http://schemas.openxmlformats.org/officeDocument/2006/relationships/hyperlink" Target="https://docdb.cept.org/download/3422" TargetMode="External"/><Relationship Id="rId6" Type="http://schemas.openxmlformats.org/officeDocument/2006/relationships/hyperlink" Target="https://docdb.cept.org/download/3422" TargetMode="External"/><Relationship Id="rId11" Type="http://schemas.openxmlformats.org/officeDocument/2006/relationships/hyperlink" Target="https://docdb.cept.org/download/3422" TargetMode="External"/><Relationship Id="rId5" Type="http://schemas.openxmlformats.org/officeDocument/2006/relationships/hyperlink" Target="https://docdb.cept.org/download/3536" TargetMode="External"/><Relationship Id="rId10" Type="http://schemas.openxmlformats.org/officeDocument/2006/relationships/hyperlink" Target="https://docdb.cept.org/download/1330" TargetMode="External"/><Relationship Id="rId4" Type="http://schemas.openxmlformats.org/officeDocument/2006/relationships/hyperlink" Target="https://docdb.cept.org/download/1330" TargetMode="External"/><Relationship Id="rId9" Type="http://schemas.openxmlformats.org/officeDocument/2006/relationships/hyperlink" Target="https://docdb.cept.org/download/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F76BF1CADA4947BBD87AD26FA6FCDA" ma:contentTypeVersion="11" ma:contentTypeDescription="Create a new document." ma:contentTypeScope="" ma:versionID="99b3e68dd2bfeec39e1ded555c264894">
  <xsd:schema xmlns:xsd="http://www.w3.org/2001/XMLSchema" xmlns:xs="http://www.w3.org/2001/XMLSchema" xmlns:p="http://schemas.microsoft.com/office/2006/metadata/properties" xmlns:ns3="f487fa4f-8f3a-45ac-b7d3-3e147d37211a" targetNamespace="http://schemas.microsoft.com/office/2006/metadata/properties" ma:root="true" ma:fieldsID="54b9fd32ac45864b64bd98856115fb79" ns3:_="">
    <xsd:import namespace="f487fa4f-8f3a-45ac-b7d3-3e147d37211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7fa4f-8f3a-45ac-b7d3-3e147d372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B5F3C-8C05-4576-B071-E81602C60644}">
  <ds:schemaRefs>
    <ds:schemaRef ds:uri="http://schemas.openxmlformats.org/officeDocument/2006/bibliography"/>
  </ds:schemaRefs>
</ds:datastoreItem>
</file>

<file path=customXml/itemProps2.xml><?xml version="1.0" encoding="utf-8"?>
<ds:datastoreItem xmlns:ds="http://schemas.openxmlformats.org/officeDocument/2006/customXml" ds:itemID="{5AD32D8F-914E-478A-8C1E-2FE677840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7fa4f-8f3a-45ac-b7d3-3e147d372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9F92D-37A8-479A-B264-577983142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34B5D6-1D96-4D41-B43F-390D270D1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3812</Words>
  <Characters>21732</Characters>
  <Application>Microsoft Office Word</Application>
  <DocSecurity>0</DocSecurity>
  <Lines>181</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11</cp:revision>
  <dcterms:created xsi:type="dcterms:W3CDTF">2024-03-08T06:40:00Z</dcterms:created>
  <dcterms:modified xsi:type="dcterms:W3CDTF">2024-06-28T06:45:00Z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c748a0-2ff9-441a-82d5-30ac767f9d6f_Enabled">
    <vt:lpwstr>true</vt:lpwstr>
  </property>
  <property fmtid="{D5CDD505-2E9C-101B-9397-08002B2CF9AE}" pid="3" name="MSIP_Label_80c748a0-2ff9-441a-82d5-30ac767f9d6f_SetDate">
    <vt:lpwstr>2022-08-21T22:59:27Z</vt:lpwstr>
  </property>
  <property fmtid="{D5CDD505-2E9C-101B-9397-08002B2CF9AE}" pid="4" name="MSIP_Label_80c748a0-2ff9-441a-82d5-30ac767f9d6f_Method">
    <vt:lpwstr>Standard</vt:lpwstr>
  </property>
  <property fmtid="{D5CDD505-2E9C-101B-9397-08002B2CF9AE}" pid="5" name="MSIP_Label_80c748a0-2ff9-441a-82d5-30ac767f9d6f_Name">
    <vt:lpwstr>OneWeb Proprietary</vt:lpwstr>
  </property>
  <property fmtid="{D5CDD505-2E9C-101B-9397-08002B2CF9AE}" pid="6" name="MSIP_Label_80c748a0-2ff9-441a-82d5-30ac767f9d6f_SiteId">
    <vt:lpwstr>d81db6ff-4c7d-4a1d-b562-81e85431d5ba</vt:lpwstr>
  </property>
  <property fmtid="{D5CDD505-2E9C-101B-9397-08002B2CF9AE}" pid="7" name="MSIP_Label_80c748a0-2ff9-441a-82d5-30ac767f9d6f_ActionId">
    <vt:lpwstr>25527afb-3a49-444f-a921-a03d402912cd</vt:lpwstr>
  </property>
  <property fmtid="{D5CDD505-2E9C-101B-9397-08002B2CF9AE}" pid="8" name="MSIP_Label_80c748a0-2ff9-441a-82d5-30ac767f9d6f_ContentBits">
    <vt:lpwstr>0</vt:lpwstr>
  </property>
  <property fmtid="{D5CDD505-2E9C-101B-9397-08002B2CF9AE}" pid="9" name="MSIP_Label_aafe21eb-8216-4b0d-915a-08268e216877_Enabled">
    <vt:lpwstr>true</vt:lpwstr>
  </property>
  <property fmtid="{D5CDD505-2E9C-101B-9397-08002B2CF9AE}" pid="10" name="MSIP_Label_aafe21eb-8216-4b0d-915a-08268e216877_SetDate">
    <vt:lpwstr>2022-03-11T18:36:29Z</vt:lpwstr>
  </property>
  <property fmtid="{D5CDD505-2E9C-101B-9397-08002B2CF9AE}" pid="11" name="MSIP_Label_aafe21eb-8216-4b0d-915a-08268e216877_Method">
    <vt:lpwstr>Privileged</vt:lpwstr>
  </property>
  <property fmtid="{D5CDD505-2E9C-101B-9397-08002B2CF9AE}" pid="12" name="MSIP_Label_aafe21eb-8216-4b0d-915a-08268e216877_Name">
    <vt:lpwstr>OneWeb Public</vt:lpwstr>
  </property>
  <property fmtid="{D5CDD505-2E9C-101B-9397-08002B2CF9AE}" pid="13" name="MSIP_Label_aafe21eb-8216-4b0d-915a-08268e216877_SiteId">
    <vt:lpwstr>d81db6ff-4c7d-4a1d-b562-81e85431d5ba</vt:lpwstr>
  </property>
  <property fmtid="{D5CDD505-2E9C-101B-9397-08002B2CF9AE}" pid="14" name="MSIP_Label_aafe21eb-8216-4b0d-915a-08268e216877_ActionId">
    <vt:lpwstr>4855726c-933d-4211-8233-3bda3ac8d1f2</vt:lpwstr>
  </property>
  <property fmtid="{D5CDD505-2E9C-101B-9397-08002B2CF9AE}" pid="15" name="MSIP_Label_aafe21eb-8216-4b0d-915a-08268e216877_ContentBits">
    <vt:lpwstr>0</vt:lpwstr>
  </property>
  <property fmtid="{D5CDD505-2E9C-101B-9397-08002B2CF9AE}" pid="16" name="ContentTypeId">
    <vt:lpwstr>0x010100D7F76BF1CADA4947BBD87AD26FA6FCDA</vt:lpwstr>
  </property>
</Properties>
</file>