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295"/>
        <w:gridCol w:w="272"/>
        <w:gridCol w:w="1560"/>
        <w:gridCol w:w="8"/>
        <w:gridCol w:w="700"/>
        <w:gridCol w:w="142"/>
        <w:gridCol w:w="998"/>
        <w:gridCol w:w="1128"/>
        <w:gridCol w:w="712"/>
        <w:gridCol w:w="1840"/>
      </w:tblGrid>
      <w:tr w:rsidR="0077095D" w:rsidRPr="00D93A66" w:rsidTr="00B466C9">
        <w:trPr>
          <w:trHeight w:val="283"/>
        </w:trPr>
        <w:tc>
          <w:tcPr>
            <w:tcW w:w="11052" w:type="dxa"/>
            <w:gridSpan w:val="15"/>
            <w:vAlign w:val="center"/>
          </w:tcPr>
          <w:p w:rsidR="0077095D" w:rsidRPr="006C7438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7E7577" w:rsidRPr="00D93A66" w:rsidTr="00C63D90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:rsidR="007E7577" w:rsidRPr="005E5CFA" w:rsidRDefault="0031347D" w:rsidP="00D93A6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9.2</w:t>
            </w:r>
          </w:p>
        </w:tc>
        <w:tc>
          <w:tcPr>
            <w:tcW w:w="8930" w:type="dxa"/>
            <w:gridSpan w:val="12"/>
          </w:tcPr>
          <w:p w:rsidR="007E7577" w:rsidRPr="00C63D90" w:rsidRDefault="007658A1" w:rsidP="007658A1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Report of the Director of the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Radiocommunication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Bureau on</w:t>
            </w:r>
            <w:r w:rsidRPr="007658A1">
              <w:rPr>
                <w:rFonts w:cstheme="minorHAnsi"/>
                <w:bCs/>
                <w:sz w:val="24"/>
                <w:szCs w:val="24"/>
              </w:rPr>
              <w:t xml:space="preserve"> any difficulties or inconsistencies encountered in the application of the Radio Regulations and the comments from administrations</w:t>
            </w:r>
          </w:p>
        </w:tc>
      </w:tr>
      <w:tr w:rsidR="007E7577" w:rsidRPr="00D93A66" w:rsidTr="00C63D90">
        <w:trPr>
          <w:trHeight w:val="283"/>
        </w:trPr>
        <w:tc>
          <w:tcPr>
            <w:tcW w:w="2122" w:type="dxa"/>
            <w:gridSpan w:val="3"/>
            <w:vMerge/>
          </w:tcPr>
          <w:p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3"/>
          </w:tcPr>
          <w:p w:rsidR="00D93A66" w:rsidRPr="006C7438" w:rsidRDefault="00FA407C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2268" w:type="dxa"/>
            <w:gridSpan w:val="3"/>
          </w:tcPr>
          <w:p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:rsidR="00D93A66" w:rsidRPr="006C7438" w:rsidRDefault="00FA407C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N/A</w:t>
            </w:r>
          </w:p>
        </w:tc>
      </w:tr>
      <w:tr w:rsidR="007E7577" w:rsidRPr="00D93A66" w:rsidTr="00B466C9">
        <w:tc>
          <w:tcPr>
            <w:tcW w:w="1555" w:type="dxa"/>
          </w:tcPr>
          <w:p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969" w:type="dxa"/>
            <w:gridSpan w:val="7"/>
          </w:tcPr>
          <w:p w:rsidR="00D93A66" w:rsidRDefault="007D2326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407C">
              <w:rPr>
                <w:rFonts w:cstheme="minorHAnsi"/>
                <w:bCs/>
                <w:sz w:val="24"/>
                <w:szCs w:val="24"/>
              </w:rPr>
              <w:t xml:space="preserve">Paul </w:t>
            </w:r>
            <w:proofErr w:type="spellStart"/>
            <w:r w:rsidR="00FA407C">
              <w:rPr>
                <w:rFonts w:cstheme="minorHAnsi"/>
                <w:bCs/>
                <w:sz w:val="24"/>
                <w:szCs w:val="24"/>
              </w:rPr>
              <w:t>Burford</w:t>
            </w:r>
            <w:proofErr w:type="spellEnd"/>
            <w:r w:rsidR="00FA407C">
              <w:rPr>
                <w:rFonts w:cstheme="minorHAnsi"/>
                <w:bCs/>
                <w:sz w:val="24"/>
                <w:szCs w:val="24"/>
              </w:rPr>
              <w:t xml:space="preserve"> (space issues)</w:t>
            </w:r>
          </w:p>
          <w:p w:rsidR="007D2326" w:rsidRPr="00D93A66" w:rsidRDefault="007D2326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TBD (terrestrial issues)</w:t>
            </w:r>
          </w:p>
        </w:tc>
        <w:tc>
          <w:tcPr>
            <w:tcW w:w="850" w:type="dxa"/>
            <w:gridSpan w:val="3"/>
          </w:tcPr>
          <w:p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:rsidR="00D93A66" w:rsidRPr="00D93A66" w:rsidRDefault="00FA407C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paul.burford@defence.gov.au</w:t>
            </w:r>
          </w:p>
        </w:tc>
      </w:tr>
      <w:tr w:rsidR="007E7577" w:rsidRPr="00D93A66" w:rsidTr="00B466C9">
        <w:tc>
          <w:tcPr>
            <w:tcW w:w="1555" w:type="dxa"/>
          </w:tcPr>
          <w:p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969" w:type="dxa"/>
            <w:gridSpan w:val="7"/>
          </w:tcPr>
          <w:p w:rsidR="00E00EC9" w:rsidRPr="00D93A66" w:rsidRDefault="00FA407C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TBD</w:t>
            </w:r>
          </w:p>
        </w:tc>
        <w:tc>
          <w:tcPr>
            <w:tcW w:w="850" w:type="dxa"/>
            <w:gridSpan w:val="3"/>
          </w:tcPr>
          <w:p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:rsidR="00E00EC9" w:rsidRPr="00D93A66" w:rsidRDefault="006C7438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D93A66">
              <w:rPr>
                <w:rFonts w:cstheme="minorHAnsi"/>
                <w:bCs/>
                <w:sz w:val="24"/>
                <w:szCs w:val="24"/>
              </w:rPr>
              <w:t>[email address]</w:t>
            </w:r>
          </w:p>
        </w:tc>
      </w:tr>
      <w:tr w:rsidR="00057D04" w:rsidRPr="00D93A66" w:rsidTr="00B466C9">
        <w:tc>
          <w:tcPr>
            <w:tcW w:w="1555" w:type="dxa"/>
          </w:tcPr>
          <w:p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4"/>
          </w:tcPr>
          <w:p w:rsidR="00057D04" w:rsidRPr="00FA407C" w:rsidRDefault="00FA407C" w:rsidP="00057D04">
            <w:pPr>
              <w:jc w:val="left"/>
              <w:rPr>
                <w:rFonts w:cstheme="minorHAnsi"/>
                <w:sz w:val="24"/>
                <w:szCs w:val="24"/>
              </w:rPr>
            </w:pPr>
            <w:r w:rsidRPr="00FA407C">
              <w:rPr>
                <w:rFonts w:cstheme="minorHAnsi"/>
                <w:sz w:val="24"/>
                <w:szCs w:val="24"/>
              </w:rPr>
              <w:t>2</w:t>
            </w:r>
            <w:r w:rsidRPr="00FA407C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FA407C">
              <w:rPr>
                <w:rFonts w:cstheme="minorHAnsi"/>
                <w:sz w:val="24"/>
                <w:szCs w:val="24"/>
              </w:rPr>
              <w:t xml:space="preserve"> April 2023</w:t>
            </w:r>
          </w:p>
        </w:tc>
      </w:tr>
      <w:tr w:rsidR="00E00EC9" w:rsidRPr="00D93A66" w:rsidTr="00B466C9">
        <w:tc>
          <w:tcPr>
            <w:tcW w:w="11052" w:type="dxa"/>
            <w:gridSpan w:val="15"/>
          </w:tcPr>
          <w:p w:rsidR="00E00EC9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11052" w:type="dxa"/>
            <w:gridSpan w:val="15"/>
          </w:tcPr>
          <w:p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7095D" w:rsidRPr="00D93A66" w:rsidTr="00B466C9">
        <w:trPr>
          <w:trHeight w:val="596"/>
        </w:trPr>
        <w:tc>
          <w:tcPr>
            <w:tcW w:w="2917" w:type="dxa"/>
            <w:gridSpan w:val="4"/>
          </w:tcPr>
          <w:p w:rsidR="0077095D" w:rsidRPr="00D93A66" w:rsidRDefault="0077095D" w:rsidP="003B05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</w:tc>
        <w:tc>
          <w:tcPr>
            <w:tcW w:w="8135" w:type="dxa"/>
            <w:gridSpan w:val="11"/>
          </w:tcPr>
          <w:p w:rsidR="0077095D" w:rsidRPr="00E00EC9" w:rsidRDefault="003B0522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TBD</w:t>
            </w:r>
          </w:p>
        </w:tc>
      </w:tr>
      <w:tr w:rsidR="0077095D" w:rsidRPr="00D93A66" w:rsidTr="00B466C9">
        <w:trPr>
          <w:trHeight w:val="889"/>
        </w:trPr>
        <w:tc>
          <w:tcPr>
            <w:tcW w:w="2917" w:type="dxa"/>
            <w:gridSpan w:val="4"/>
          </w:tcPr>
          <w:p w:rsidR="0077095D" w:rsidRPr="00D93A66" w:rsidRDefault="0077095D" w:rsidP="003B052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</w:tc>
        <w:tc>
          <w:tcPr>
            <w:tcW w:w="8135" w:type="dxa"/>
            <w:gridSpan w:val="11"/>
          </w:tcPr>
          <w:p w:rsidR="0077095D" w:rsidRPr="00E00EC9" w:rsidRDefault="003B0522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N/A</w:t>
            </w:r>
          </w:p>
          <w:p w:rsidR="0077095D" w:rsidRPr="00E00EC9" w:rsidRDefault="0077095D" w:rsidP="00CB7A2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2917" w:type="dxa"/>
            <w:gridSpan w:val="4"/>
          </w:tcPr>
          <w:p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1"/>
          </w:tcPr>
          <w:p w:rsidR="0077095D" w:rsidRPr="00D93A66" w:rsidRDefault="00FA407C" w:rsidP="00FA407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prior meeting in APG due to the nature of this agenda item. The Director’s Report was unavailable until the CPM. </w:t>
            </w:r>
          </w:p>
        </w:tc>
      </w:tr>
      <w:tr w:rsidR="0077095D" w:rsidRPr="00D93A66" w:rsidTr="00B466C9">
        <w:tc>
          <w:tcPr>
            <w:tcW w:w="11052" w:type="dxa"/>
            <w:gridSpan w:val="15"/>
          </w:tcPr>
          <w:p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11052" w:type="dxa"/>
            <w:gridSpan w:val="15"/>
          </w:tcPr>
          <w:p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E7577" w:rsidRPr="00D93A66" w:rsidTr="00B466C9">
        <w:tc>
          <w:tcPr>
            <w:tcW w:w="1853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:rsidR="007E7577" w:rsidRDefault="007E7577" w:rsidP="00A80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840" w:type="dxa"/>
            <w:gridSpan w:val="3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840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840" w:type="dxa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E7577" w:rsidRPr="00D93A66" w:rsidTr="00B466C9">
        <w:tc>
          <w:tcPr>
            <w:tcW w:w="1853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839" w:type="dxa"/>
            <w:gridSpan w:val="4"/>
          </w:tcPr>
          <w:p w:rsidR="007E7577" w:rsidRDefault="003B0522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1840" w:type="dxa"/>
            <w:gridSpan w:val="3"/>
          </w:tcPr>
          <w:p w:rsidR="007E7577" w:rsidRDefault="003B0522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1840" w:type="dxa"/>
            <w:gridSpan w:val="3"/>
          </w:tcPr>
          <w:p w:rsidR="007E7577" w:rsidRDefault="003B0522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1840" w:type="dxa"/>
            <w:gridSpan w:val="2"/>
          </w:tcPr>
          <w:p w:rsidR="007E7577" w:rsidRDefault="003B0522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N/A</w:t>
            </w:r>
          </w:p>
        </w:tc>
        <w:tc>
          <w:tcPr>
            <w:tcW w:w="1840" w:type="dxa"/>
          </w:tcPr>
          <w:p w:rsidR="007E7577" w:rsidRDefault="003B0522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N/A</w:t>
            </w:r>
          </w:p>
        </w:tc>
      </w:tr>
      <w:tr w:rsidR="007E7577" w:rsidRPr="00D93A66" w:rsidTr="00B466C9">
        <w:tc>
          <w:tcPr>
            <w:tcW w:w="1853" w:type="dxa"/>
            <w:gridSpan w:val="2"/>
          </w:tcPr>
          <w:p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839" w:type="dxa"/>
            <w:gridSpan w:val="4"/>
          </w:tcPr>
          <w:p w:rsidR="007E7577" w:rsidRPr="00FA407C" w:rsidRDefault="00FA407C" w:rsidP="00D93A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407C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840" w:type="dxa"/>
            <w:gridSpan w:val="3"/>
          </w:tcPr>
          <w:p w:rsidR="007E7577" w:rsidRPr="00FA407C" w:rsidRDefault="00FA407C" w:rsidP="00D93A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407C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840" w:type="dxa"/>
            <w:gridSpan w:val="3"/>
          </w:tcPr>
          <w:p w:rsidR="007E7577" w:rsidRPr="00FA407C" w:rsidRDefault="00FA407C" w:rsidP="00D93A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407C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840" w:type="dxa"/>
            <w:gridSpan w:val="2"/>
          </w:tcPr>
          <w:p w:rsidR="007E7577" w:rsidRPr="00FA407C" w:rsidRDefault="00FA407C" w:rsidP="00D93A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407C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840" w:type="dxa"/>
          </w:tcPr>
          <w:p w:rsidR="007E7577" w:rsidRPr="00FA407C" w:rsidRDefault="00FA407C" w:rsidP="00D93A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407C"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6C7438" w:rsidRPr="00D93A66" w:rsidTr="00B466C9">
        <w:tc>
          <w:tcPr>
            <w:tcW w:w="11052" w:type="dxa"/>
            <w:gridSpan w:val="15"/>
          </w:tcPr>
          <w:p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:rsidTr="00B466C9">
        <w:tc>
          <w:tcPr>
            <w:tcW w:w="11052" w:type="dxa"/>
            <w:gridSpan w:val="15"/>
          </w:tcPr>
          <w:p w:rsidR="0077095D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D93A66" w:rsidTr="00B466C9">
        <w:tc>
          <w:tcPr>
            <w:tcW w:w="3397" w:type="dxa"/>
            <w:gridSpan w:val="5"/>
          </w:tcPr>
          <w:p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655" w:type="dxa"/>
            <w:gridSpan w:val="10"/>
          </w:tcPr>
          <w:p w:rsidR="006C7438" w:rsidRPr="0077095D" w:rsidRDefault="007D2326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N/A</w:t>
            </w:r>
          </w:p>
        </w:tc>
      </w:tr>
      <w:tr w:rsidR="006C7438" w:rsidRPr="00D93A66" w:rsidTr="00B466C9">
        <w:tc>
          <w:tcPr>
            <w:tcW w:w="11052" w:type="dxa"/>
            <w:gridSpan w:val="15"/>
          </w:tcPr>
          <w:p w:rsidR="006C7438" w:rsidRDefault="007D2326" w:rsidP="00A612D1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 Director’s Report (Document 236)</w:t>
            </w:r>
            <w:r w:rsidR="00A612D1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="00A612D1" w:rsidRPr="00A612D1">
              <w:rPr>
                <w:rFonts w:cstheme="minorHAnsi"/>
                <w:bCs/>
                <w:sz w:val="24"/>
                <w:szCs w:val="24"/>
              </w:rPr>
              <w:t xml:space="preserve">titled, </w:t>
            </w:r>
            <w:r w:rsidR="00A612D1" w:rsidRPr="00A612D1">
              <w:rPr>
                <w:rFonts w:cstheme="minorHAnsi"/>
                <w:i/>
                <w:sz w:val="24"/>
                <w:szCs w:val="24"/>
              </w:rPr>
              <w:t xml:space="preserve"> “</w:t>
            </w:r>
            <w:r w:rsidR="00A612D1" w:rsidRPr="00A612D1">
              <w:rPr>
                <w:rFonts w:cstheme="minorHAnsi"/>
                <w:i/>
                <w:sz w:val="24"/>
                <w:szCs w:val="24"/>
              </w:rPr>
              <w:t xml:space="preserve">Preliminary draft Report of the Director to WRC-23 on the activities of the </w:t>
            </w:r>
            <w:proofErr w:type="spellStart"/>
            <w:r w:rsidR="00A612D1" w:rsidRPr="00A612D1">
              <w:rPr>
                <w:rFonts w:cstheme="minorHAnsi"/>
                <w:i/>
                <w:sz w:val="24"/>
                <w:szCs w:val="24"/>
              </w:rPr>
              <w:t>Radiocommunication</w:t>
            </w:r>
            <w:proofErr w:type="spellEnd"/>
            <w:r w:rsidR="00A612D1" w:rsidRPr="00A612D1">
              <w:rPr>
                <w:rFonts w:cstheme="minorHAnsi"/>
                <w:i/>
                <w:sz w:val="24"/>
                <w:szCs w:val="24"/>
              </w:rPr>
              <w:t xml:space="preserve"> Sector - Experience in the application of the Radio Regulatory Procedures and other related matters</w:t>
            </w:r>
            <w:r w:rsidR="00A612D1" w:rsidRPr="00A612D1">
              <w:rPr>
                <w:rFonts w:cstheme="minorHAnsi"/>
                <w:i/>
                <w:sz w:val="24"/>
                <w:szCs w:val="24"/>
              </w:rPr>
              <w:t>”</w:t>
            </w:r>
            <w:r w:rsidR="00A612D1" w:rsidRPr="00A612D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612D1">
              <w:rPr>
                <w:rFonts w:cstheme="minorHAnsi"/>
                <w:bCs/>
                <w:sz w:val="24"/>
                <w:szCs w:val="24"/>
              </w:rPr>
              <w:t>was provided for information only.</w:t>
            </w:r>
          </w:p>
        </w:tc>
      </w:tr>
      <w:tr w:rsidR="007E7577" w:rsidRPr="00D93A66" w:rsidTr="00B466C9">
        <w:tc>
          <w:tcPr>
            <w:tcW w:w="11052" w:type="dxa"/>
            <w:gridSpan w:val="15"/>
          </w:tcPr>
          <w:p w:rsidR="007E7577" w:rsidRPr="0077095D" w:rsidRDefault="007E757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:rsidTr="00B466C9">
        <w:tc>
          <w:tcPr>
            <w:tcW w:w="11052" w:type="dxa"/>
            <w:gridSpan w:val="15"/>
          </w:tcPr>
          <w:p w:rsidR="007E7577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:rsidTr="00B466C9">
        <w:tc>
          <w:tcPr>
            <w:tcW w:w="11052" w:type="dxa"/>
            <w:gridSpan w:val="15"/>
          </w:tcPr>
          <w:p w:rsidR="007E7577" w:rsidRPr="0077095D" w:rsidRDefault="003B0522" w:rsidP="003B0522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Administrations need time to assess the content of the Director’s Report. At this stage there is nothing to report on the report of the Director for CPM23-2.</w:t>
            </w:r>
            <w:r w:rsidR="007D232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7D2326">
              <w:rPr>
                <w:rFonts w:cstheme="minorHAnsi"/>
                <w:bCs/>
                <w:sz w:val="24"/>
                <w:szCs w:val="24"/>
              </w:rPr>
              <w:t>Mr</w:t>
            </w:r>
            <w:proofErr w:type="spellEnd"/>
            <w:r w:rsidR="007D2326">
              <w:rPr>
                <w:rFonts w:cstheme="minorHAnsi"/>
                <w:bCs/>
                <w:sz w:val="24"/>
                <w:szCs w:val="24"/>
              </w:rPr>
              <w:t xml:space="preserve"> Paul </w:t>
            </w:r>
            <w:proofErr w:type="spellStart"/>
            <w:r w:rsidR="007D2326">
              <w:rPr>
                <w:rFonts w:cstheme="minorHAnsi"/>
                <w:bCs/>
                <w:sz w:val="24"/>
                <w:szCs w:val="24"/>
              </w:rPr>
              <w:t>Burford</w:t>
            </w:r>
            <w:proofErr w:type="spellEnd"/>
            <w:r w:rsidR="007D2326">
              <w:rPr>
                <w:rFonts w:cstheme="minorHAnsi"/>
                <w:bCs/>
                <w:sz w:val="24"/>
                <w:szCs w:val="24"/>
              </w:rPr>
              <w:t xml:space="preserve"> will be the APT Coordinator for space issues arising from the Director’s Report. An APT Coordinator will need to be identified for terrestrial issues. In the interim </w:t>
            </w:r>
            <w:proofErr w:type="spellStart"/>
            <w:r w:rsidR="007D2326">
              <w:rPr>
                <w:rFonts w:cstheme="minorHAnsi"/>
                <w:bCs/>
                <w:sz w:val="24"/>
                <w:szCs w:val="24"/>
              </w:rPr>
              <w:t>Mr</w:t>
            </w:r>
            <w:proofErr w:type="spellEnd"/>
            <w:r w:rsidR="007D2326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7D2326">
              <w:rPr>
                <w:rFonts w:cstheme="minorHAnsi"/>
                <w:bCs/>
                <w:sz w:val="24"/>
                <w:szCs w:val="24"/>
              </w:rPr>
              <w:t>Burford</w:t>
            </w:r>
            <w:proofErr w:type="spellEnd"/>
            <w:r w:rsidR="007D2326">
              <w:rPr>
                <w:rFonts w:cstheme="minorHAnsi"/>
                <w:bCs/>
                <w:sz w:val="24"/>
                <w:szCs w:val="24"/>
              </w:rPr>
              <w:t xml:space="preserve"> will perform this role until another APT Coordinator is identified.</w:t>
            </w:r>
          </w:p>
        </w:tc>
      </w:tr>
    </w:tbl>
    <w:p w:rsidR="009977D0" w:rsidRDefault="009977D0"/>
    <w:p w:rsidR="00D93A66" w:rsidRDefault="00D93A66"/>
    <w:p w:rsidR="00D93A66" w:rsidRDefault="00D93A66"/>
    <w:sectPr w:rsidR="00D93A66" w:rsidSect="00B46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34" w:rsidRDefault="005C0234" w:rsidP="00D93A66">
      <w:pPr>
        <w:spacing w:after="0" w:line="240" w:lineRule="auto"/>
      </w:pPr>
      <w:r>
        <w:separator/>
      </w:r>
    </w:p>
  </w:endnote>
  <w:endnote w:type="continuationSeparator" w:id="0">
    <w:p w:rsidR="005C0234" w:rsidRDefault="005C0234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D5" w:rsidRDefault="00546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D5" w:rsidRDefault="00546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D5" w:rsidRDefault="0054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34" w:rsidRDefault="005C0234" w:rsidP="00D93A66">
      <w:pPr>
        <w:spacing w:after="0" w:line="240" w:lineRule="auto"/>
      </w:pPr>
      <w:r>
        <w:separator/>
      </w:r>
    </w:p>
  </w:footnote>
  <w:footnote w:type="continuationSeparator" w:id="0">
    <w:p w:rsidR="005C0234" w:rsidRDefault="005C0234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D5" w:rsidRDefault="00546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66" w:rsidRDefault="00D93A66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:rsidR="00E00EC9" w:rsidRPr="002C600C" w:rsidRDefault="00E00EC9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:rsidR="00D93A66" w:rsidRDefault="00D93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D5" w:rsidRDefault="00546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66"/>
    <w:rsid w:val="00057D04"/>
    <w:rsid w:val="0029461B"/>
    <w:rsid w:val="0031347D"/>
    <w:rsid w:val="003B0522"/>
    <w:rsid w:val="005462D5"/>
    <w:rsid w:val="00580AA6"/>
    <w:rsid w:val="005C0234"/>
    <w:rsid w:val="005E5CFA"/>
    <w:rsid w:val="006C7438"/>
    <w:rsid w:val="007658A1"/>
    <w:rsid w:val="0077095D"/>
    <w:rsid w:val="007D2326"/>
    <w:rsid w:val="007E7577"/>
    <w:rsid w:val="00911E1F"/>
    <w:rsid w:val="00952584"/>
    <w:rsid w:val="009977D0"/>
    <w:rsid w:val="00A612D1"/>
    <w:rsid w:val="00B16274"/>
    <w:rsid w:val="00B218EB"/>
    <w:rsid w:val="00B466C9"/>
    <w:rsid w:val="00C61C3A"/>
    <w:rsid w:val="00C63D90"/>
    <w:rsid w:val="00C91AAA"/>
    <w:rsid w:val="00D93A66"/>
    <w:rsid w:val="00E00EC9"/>
    <w:rsid w:val="00FA407C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CA76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A66"/>
  </w:style>
  <w:style w:type="paragraph" w:styleId="Footer">
    <w:name w:val="footer"/>
    <w:basedOn w:val="Normal"/>
    <w:link w:val="Foot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3A66"/>
  </w:style>
  <w:style w:type="table" w:styleId="TableGrid">
    <w:name w:val="Table Grid"/>
    <w:basedOn w:val="TableNormal"/>
    <w:uiPriority w:val="39"/>
    <w:rsid w:val="00D93A66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AHA16963</cp:lastModifiedBy>
  <cp:revision>6</cp:revision>
  <dcterms:created xsi:type="dcterms:W3CDTF">2023-03-17T03:10:00Z</dcterms:created>
  <dcterms:modified xsi:type="dcterms:W3CDTF">2023-04-02T13:30:00Z</dcterms:modified>
</cp:coreProperties>
</file>