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565" w:type="dxa"/>
        <w:tblLook w:val="04A0" w:firstRow="1" w:lastRow="0" w:firstColumn="1" w:lastColumn="0" w:noHBand="0" w:noVBand="1"/>
      </w:tblPr>
      <w:tblGrid>
        <w:gridCol w:w="1555"/>
        <w:gridCol w:w="297"/>
        <w:gridCol w:w="207"/>
        <w:gridCol w:w="780"/>
        <w:gridCol w:w="436"/>
        <w:gridCol w:w="507"/>
        <w:gridCol w:w="273"/>
        <w:gridCol w:w="1664"/>
        <w:gridCol w:w="125"/>
        <w:gridCol w:w="1450"/>
        <w:gridCol w:w="1521"/>
        <w:gridCol w:w="2344"/>
        <w:gridCol w:w="406"/>
      </w:tblGrid>
      <w:tr w:rsidR="0077095D" w:rsidRPr="00D93A66" w14:paraId="24D6745F" w14:textId="77777777" w:rsidTr="00D93C69">
        <w:trPr>
          <w:gridAfter w:val="1"/>
          <w:wAfter w:w="406" w:type="dxa"/>
          <w:trHeight w:val="283"/>
        </w:trPr>
        <w:tc>
          <w:tcPr>
            <w:tcW w:w="11159" w:type="dxa"/>
            <w:gridSpan w:val="12"/>
            <w:vAlign w:val="center"/>
          </w:tcPr>
          <w:p w14:paraId="4538886C" w14:textId="77777777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126A4873" w14:textId="77777777" w:rsidTr="00D93C69">
        <w:trPr>
          <w:gridAfter w:val="1"/>
          <w:wAfter w:w="406" w:type="dxa"/>
          <w:trHeight w:val="694"/>
        </w:trPr>
        <w:tc>
          <w:tcPr>
            <w:tcW w:w="2059" w:type="dxa"/>
            <w:gridSpan w:val="3"/>
            <w:vMerge w:val="restart"/>
            <w:vAlign w:val="center"/>
          </w:tcPr>
          <w:p w14:paraId="523B31E2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3F58EFB" w14:textId="0B167907" w:rsidR="007E7577" w:rsidRPr="005E5CFA" w:rsidRDefault="00F1297B" w:rsidP="00D93A66">
            <w:pPr>
              <w:jc w:val="center"/>
              <w:rPr>
                <w:rFonts w:cstheme="minorHAnsi"/>
                <w:bCs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cstheme="minorHAnsi"/>
                <w:bCs/>
                <w:sz w:val="28"/>
                <w:szCs w:val="28"/>
                <w:lang w:eastAsia="zh-CN"/>
              </w:rPr>
              <w:t>.13</w:t>
            </w:r>
          </w:p>
        </w:tc>
        <w:tc>
          <w:tcPr>
            <w:tcW w:w="9100" w:type="dxa"/>
            <w:gridSpan w:val="9"/>
          </w:tcPr>
          <w:p w14:paraId="3E7B11E5" w14:textId="2B6CE7EE" w:rsidR="007E7577" w:rsidRPr="00C63D90" w:rsidRDefault="00734779" w:rsidP="00F1297B">
            <w:pPr>
              <w:rPr>
                <w:rFonts w:cstheme="minorHAnsi"/>
                <w:bCs/>
                <w:sz w:val="24"/>
                <w:szCs w:val="24"/>
              </w:rPr>
            </w:pPr>
            <w:r w:rsidRPr="0073477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0"/>
                <w:lang w:val="en-GB" w:eastAsia="en-US"/>
              </w:rPr>
              <w:t xml:space="preserve">to review and consider possible adjustments of the existing or possible new primary frequency allocations to the Earth exploration-satellite service (passive) in the frequency range 231.5-252 GHz, to ensure alignment with more up-to-date remote-sensing observation requirements, in accordance with Resolution </w:t>
            </w:r>
            <w:r w:rsidRPr="0073477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0"/>
                <w:lang w:val="en-GB" w:eastAsia="en-US"/>
              </w:rPr>
              <w:t>662 (WRC-19)</w:t>
            </w:r>
            <w:r w:rsidRPr="0073477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0"/>
                <w:lang w:val="en-GB" w:eastAsia="en-US"/>
              </w:rPr>
              <w:t>;</w:t>
            </w:r>
          </w:p>
        </w:tc>
      </w:tr>
      <w:tr w:rsidR="007E7577" w:rsidRPr="00D93A66" w14:paraId="7B0800E5" w14:textId="77777777" w:rsidTr="00D93C69">
        <w:trPr>
          <w:gridAfter w:val="1"/>
          <w:wAfter w:w="406" w:type="dxa"/>
          <w:trHeight w:val="283"/>
        </w:trPr>
        <w:tc>
          <w:tcPr>
            <w:tcW w:w="2059" w:type="dxa"/>
            <w:gridSpan w:val="3"/>
            <w:vMerge/>
          </w:tcPr>
          <w:p w14:paraId="126A177B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3"/>
          </w:tcPr>
          <w:p w14:paraId="0B1389E7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1937" w:type="dxa"/>
            <w:gridSpan w:val="2"/>
          </w:tcPr>
          <w:p w14:paraId="079E0996" w14:textId="037C1E36" w:rsidR="00D93A66" w:rsidRPr="006C7438" w:rsidRDefault="006464B2" w:rsidP="00D93A66">
            <w:pPr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WG </w:t>
            </w:r>
            <w:r w:rsidR="00B6780E">
              <w:rPr>
                <w:rFonts w:cstheme="minorHAnsi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96" w:type="dxa"/>
            <w:gridSpan w:val="3"/>
          </w:tcPr>
          <w:p w14:paraId="54E2687A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344" w:type="dxa"/>
          </w:tcPr>
          <w:p w14:paraId="0CCEF7E0" w14:textId="5CEE5FBA" w:rsidR="00D93A66" w:rsidRPr="006C7438" w:rsidRDefault="006464B2" w:rsidP="00D93A66">
            <w:pPr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WG 3</w:t>
            </w:r>
            <w:r w:rsidR="000F345D">
              <w:rPr>
                <w:rFonts w:cstheme="minorHAnsi"/>
                <w:bCs/>
                <w:sz w:val="24"/>
                <w:szCs w:val="24"/>
                <w:lang w:eastAsia="zh-CN"/>
              </w:rPr>
              <w:t>C</w:t>
            </w:r>
          </w:p>
        </w:tc>
      </w:tr>
      <w:tr w:rsidR="007E7577" w:rsidRPr="00D93A66" w14:paraId="47B1FC68" w14:textId="77777777" w:rsidTr="00D93C69">
        <w:tc>
          <w:tcPr>
            <w:tcW w:w="1555" w:type="dxa"/>
          </w:tcPr>
          <w:p w14:paraId="7D175E0E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4289" w:type="dxa"/>
            <w:gridSpan w:val="8"/>
          </w:tcPr>
          <w:p w14:paraId="04802B83" w14:textId="0655B915" w:rsidR="00D93A66" w:rsidRPr="00D93A66" w:rsidRDefault="000F345D" w:rsidP="000F345D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Dr. Md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zh-CN"/>
              </w:rPr>
              <w:t>Sohel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Rana</w:t>
            </w:r>
          </w:p>
        </w:tc>
        <w:tc>
          <w:tcPr>
            <w:tcW w:w="1450" w:type="dxa"/>
          </w:tcPr>
          <w:p w14:paraId="4411EDC6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271" w:type="dxa"/>
            <w:gridSpan w:val="3"/>
          </w:tcPr>
          <w:p w14:paraId="7EDB8CB5" w14:textId="41942262" w:rsidR="00D93A66" w:rsidRPr="00D93A66" w:rsidRDefault="000F345D" w:rsidP="00D93A66">
            <w:pPr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/>
                <w:bCs/>
                <w:sz w:val="24"/>
                <w:szCs w:val="24"/>
                <w:lang w:eastAsia="zh-CN"/>
              </w:rPr>
              <w:t>ranasohelbtrc@gmail.com</w:t>
            </w:r>
          </w:p>
        </w:tc>
      </w:tr>
      <w:tr w:rsidR="007E7577" w:rsidRPr="00D93A66" w14:paraId="20B68BC8" w14:textId="77777777" w:rsidTr="00D93C69">
        <w:tc>
          <w:tcPr>
            <w:tcW w:w="1555" w:type="dxa"/>
          </w:tcPr>
          <w:p w14:paraId="122CF6FA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4289" w:type="dxa"/>
            <w:gridSpan w:val="8"/>
          </w:tcPr>
          <w:p w14:paraId="620B9C73" w14:textId="0E0E4F70" w:rsidR="00E00EC9" w:rsidRPr="00D93A66" w:rsidRDefault="00725CB3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25CB3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725CB3">
              <w:rPr>
                <w:rFonts w:cstheme="minorHAnsi"/>
                <w:bCs/>
                <w:sz w:val="24"/>
                <w:szCs w:val="24"/>
              </w:rPr>
              <w:t>Wahyudi</w:t>
            </w:r>
            <w:proofErr w:type="spellEnd"/>
            <w:r w:rsidRPr="00725CB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25CB3">
              <w:rPr>
                <w:rFonts w:cstheme="minorHAnsi"/>
                <w:bCs/>
                <w:sz w:val="24"/>
                <w:szCs w:val="24"/>
              </w:rPr>
              <w:t>Hasb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50" w:type="dxa"/>
          </w:tcPr>
          <w:p w14:paraId="727DDA7D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271" w:type="dxa"/>
            <w:gridSpan w:val="3"/>
          </w:tcPr>
          <w:p w14:paraId="6133F122" w14:textId="574762CB" w:rsidR="00E00EC9" w:rsidRPr="00D93A66" w:rsidRDefault="00725CB3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25CB3">
              <w:rPr>
                <w:rFonts w:cstheme="minorHAnsi"/>
                <w:bCs/>
                <w:sz w:val="24"/>
                <w:szCs w:val="24"/>
              </w:rPr>
              <w:t xml:space="preserve">wahyudi.hasbi@lapan.go.id </w:t>
            </w:r>
          </w:p>
        </w:tc>
      </w:tr>
      <w:tr w:rsidR="00057D04" w:rsidRPr="00D93A66" w14:paraId="5893A19F" w14:textId="77777777" w:rsidTr="00D93C69">
        <w:trPr>
          <w:gridAfter w:val="1"/>
          <w:wAfter w:w="406" w:type="dxa"/>
        </w:trPr>
        <w:tc>
          <w:tcPr>
            <w:tcW w:w="1555" w:type="dxa"/>
          </w:tcPr>
          <w:p w14:paraId="161D36C0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604" w:type="dxa"/>
            <w:gridSpan w:val="11"/>
          </w:tcPr>
          <w:p w14:paraId="79CA14FA" w14:textId="40AF6F30" w:rsidR="00057D04" w:rsidRPr="00F33BB9" w:rsidRDefault="00D73A7D" w:rsidP="00057D04">
            <w:pPr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F33BB9">
              <w:rPr>
                <w:rFonts w:cstheme="minorHAnsi"/>
                <w:bCs/>
                <w:sz w:val="24"/>
                <w:szCs w:val="24"/>
                <w:lang w:eastAsia="zh-CN"/>
              </w:rPr>
              <w:t>03</w:t>
            </w:r>
            <w:r w:rsidR="00A03195" w:rsidRPr="00F33BB9">
              <w:rPr>
                <w:rFonts w:cstheme="minorHAnsi"/>
                <w:bCs/>
                <w:sz w:val="24"/>
                <w:szCs w:val="24"/>
                <w:lang w:eastAsia="zh-CN"/>
              </w:rPr>
              <w:t>.0</w:t>
            </w:r>
            <w:r w:rsidRPr="00F33BB9">
              <w:rPr>
                <w:rFonts w:cstheme="minorHAnsi"/>
                <w:bCs/>
                <w:sz w:val="24"/>
                <w:szCs w:val="24"/>
                <w:lang w:eastAsia="zh-CN"/>
              </w:rPr>
              <w:t>4</w:t>
            </w:r>
            <w:r w:rsidR="00A03195" w:rsidRPr="00F33BB9">
              <w:rPr>
                <w:rFonts w:cstheme="minorHAnsi"/>
                <w:bCs/>
                <w:sz w:val="24"/>
                <w:szCs w:val="24"/>
                <w:lang w:eastAsia="zh-CN"/>
              </w:rPr>
              <w:t>.2023</w:t>
            </w:r>
          </w:p>
        </w:tc>
      </w:tr>
      <w:tr w:rsidR="00E00EC9" w:rsidRPr="00D93A66" w14:paraId="132199A7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32AC32B2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DF23683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0B105DFC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44D225BC" w14:textId="77777777" w:rsidTr="00D93C69">
        <w:trPr>
          <w:gridAfter w:val="1"/>
          <w:wAfter w:w="406" w:type="dxa"/>
          <w:trHeight w:val="596"/>
        </w:trPr>
        <w:tc>
          <w:tcPr>
            <w:tcW w:w="2839" w:type="dxa"/>
            <w:gridSpan w:val="4"/>
          </w:tcPr>
          <w:p w14:paraId="2021E847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4FD8B778" w14:textId="77777777"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320" w:type="dxa"/>
            <w:gridSpan w:val="8"/>
          </w:tcPr>
          <w:p w14:paraId="35BD0CB3" w14:textId="59BAC9DB" w:rsidR="00BE4186" w:rsidRPr="00BE4186" w:rsidRDefault="00BE4186" w:rsidP="00BE4186">
            <w:pPr>
              <w:wordWrap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>For the APT Preliminary Views on the Agenda item adopted at APG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23</w:t>
            </w:r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5</w:t>
            </w:r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>, please refer to the output document of APG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23</w:t>
            </w:r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5</w:t>
            </w:r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meeting (Doc.</w:t>
            </w:r>
            <w:r w:rsidR="000F345D" w:rsidRPr="000F34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7" w:tgtFrame="_blank" w:history="1">
              <w:r w:rsidR="000F345D" w:rsidRPr="000F345D">
                <w:rPr>
                  <w:rFonts w:ascii="Arial" w:hAnsi="Arial" w:cs="Arial"/>
                  <w:color w:val="0062A0"/>
                  <w:sz w:val="18"/>
                  <w:szCs w:val="18"/>
                  <w:u w:val="single"/>
                </w:rPr>
                <w:t>APG23-5/OUT-22</w:t>
              </w:r>
            </w:hyperlink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>).</w:t>
            </w:r>
          </w:p>
          <w:p w14:paraId="480361F7" w14:textId="72D080BD" w:rsidR="0077095D" w:rsidRPr="00E00EC9" w:rsidRDefault="00BE4186" w:rsidP="00BE4186">
            <w:pPr>
              <w:wordWrap/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>APT did not submit input contribution to CPM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23-</w:t>
            </w:r>
            <w:r w:rsidRPr="00BE4186">
              <w:rPr>
                <w:rFonts w:cstheme="minorHAnsi"/>
                <w:bCs/>
                <w:sz w:val="24"/>
                <w:szCs w:val="24"/>
                <w:lang w:eastAsia="zh-CN"/>
              </w:rPr>
              <w:t>2 meeting on this Agenda item.</w:t>
            </w:r>
          </w:p>
        </w:tc>
      </w:tr>
      <w:tr w:rsidR="0077095D" w:rsidRPr="00D93A66" w14:paraId="2422B73B" w14:textId="77777777" w:rsidTr="00D93C69">
        <w:trPr>
          <w:gridAfter w:val="1"/>
          <w:wAfter w:w="406" w:type="dxa"/>
          <w:trHeight w:val="889"/>
        </w:trPr>
        <w:tc>
          <w:tcPr>
            <w:tcW w:w="2839" w:type="dxa"/>
            <w:gridSpan w:val="4"/>
          </w:tcPr>
          <w:p w14:paraId="4CFE7171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5852D537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320" w:type="dxa"/>
            <w:gridSpan w:val="8"/>
          </w:tcPr>
          <w:p w14:paraId="7F6A17DF" w14:textId="3646465E" w:rsidR="0077095D" w:rsidRPr="00E00EC9" w:rsidRDefault="00C97964" w:rsidP="00021CD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N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one.</w:t>
            </w:r>
          </w:p>
        </w:tc>
      </w:tr>
      <w:tr w:rsidR="0077095D" w:rsidRPr="00D93A66" w14:paraId="7E7C5100" w14:textId="77777777" w:rsidTr="00D93C69">
        <w:trPr>
          <w:gridAfter w:val="1"/>
          <w:wAfter w:w="406" w:type="dxa"/>
        </w:trPr>
        <w:tc>
          <w:tcPr>
            <w:tcW w:w="2839" w:type="dxa"/>
            <w:gridSpan w:val="4"/>
          </w:tcPr>
          <w:p w14:paraId="62DC1797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3081EECC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320" w:type="dxa"/>
            <w:gridSpan w:val="8"/>
          </w:tcPr>
          <w:p w14:paraId="03B2D404" w14:textId="3246C911" w:rsidR="0077095D" w:rsidRPr="00D93A66" w:rsidRDefault="00B67FDF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N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one.</w:t>
            </w:r>
          </w:p>
        </w:tc>
      </w:tr>
      <w:tr w:rsidR="0077095D" w:rsidRPr="00D93A66" w14:paraId="630837B4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023C6C02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42097B44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4D4DF053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D93C69" w:rsidRPr="00D93A66" w14:paraId="599B9C5D" w14:textId="77777777" w:rsidTr="00D93C69">
        <w:trPr>
          <w:gridAfter w:val="1"/>
          <w:wAfter w:w="406" w:type="dxa"/>
        </w:trPr>
        <w:tc>
          <w:tcPr>
            <w:tcW w:w="1852" w:type="dxa"/>
            <w:gridSpan w:val="2"/>
          </w:tcPr>
          <w:p w14:paraId="00CAB4C0" w14:textId="77777777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3" w:type="dxa"/>
            <w:gridSpan w:val="5"/>
          </w:tcPr>
          <w:p w14:paraId="7B84E371" w14:textId="78755B25" w:rsidR="00164672" w:rsidRDefault="00662B8C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gridSpan w:val="2"/>
          </w:tcPr>
          <w:p w14:paraId="34166103" w14:textId="4936983F" w:rsidR="00164672" w:rsidRDefault="00662B8C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</w:p>
        </w:tc>
        <w:tc>
          <w:tcPr>
            <w:tcW w:w="2971" w:type="dxa"/>
            <w:gridSpan w:val="2"/>
          </w:tcPr>
          <w:p w14:paraId="2EE46A85" w14:textId="6BA0D79D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Canada</w:t>
            </w:r>
          </w:p>
        </w:tc>
        <w:tc>
          <w:tcPr>
            <w:tcW w:w="2344" w:type="dxa"/>
          </w:tcPr>
          <w:p w14:paraId="0BD731BB" w14:textId="1C17A4E8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China</w:t>
            </w:r>
          </w:p>
        </w:tc>
      </w:tr>
      <w:tr w:rsidR="00D93C69" w:rsidRPr="00D93A66" w14:paraId="209D857E" w14:textId="77777777" w:rsidTr="00D93C69">
        <w:trPr>
          <w:gridAfter w:val="1"/>
          <w:wAfter w:w="406" w:type="dxa"/>
        </w:trPr>
        <w:tc>
          <w:tcPr>
            <w:tcW w:w="1852" w:type="dxa"/>
            <w:gridSpan w:val="2"/>
          </w:tcPr>
          <w:p w14:paraId="41CA75ED" w14:textId="77777777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2203" w:type="dxa"/>
            <w:gridSpan w:val="5"/>
          </w:tcPr>
          <w:p w14:paraId="0F1ACC48" w14:textId="0B0D8E6C" w:rsidR="00164672" w:rsidRDefault="00662B8C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CPM23-2/48</w:t>
            </w:r>
          </w:p>
        </w:tc>
        <w:tc>
          <w:tcPr>
            <w:tcW w:w="1789" w:type="dxa"/>
            <w:gridSpan w:val="2"/>
          </w:tcPr>
          <w:p w14:paraId="121BAF11" w14:textId="221D848D" w:rsidR="00164672" w:rsidRDefault="00662B8C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CPM23-2/136</w:t>
            </w:r>
          </w:p>
        </w:tc>
        <w:tc>
          <w:tcPr>
            <w:tcW w:w="2971" w:type="dxa"/>
            <w:gridSpan w:val="2"/>
          </w:tcPr>
          <w:p w14:paraId="6A7513CC" w14:textId="390BFDFF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CPM23-2/22</w:t>
            </w:r>
          </w:p>
        </w:tc>
        <w:tc>
          <w:tcPr>
            <w:tcW w:w="2344" w:type="dxa"/>
          </w:tcPr>
          <w:p w14:paraId="288565C2" w14:textId="2290ED75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D93C69">
              <w:rPr>
                <w:rFonts w:cstheme="minorHAnsi"/>
                <w:bCs/>
                <w:sz w:val="24"/>
                <w:szCs w:val="24"/>
              </w:rPr>
              <w:t>62</w:t>
            </w:r>
          </w:p>
        </w:tc>
      </w:tr>
      <w:tr w:rsidR="00D93C69" w:rsidRPr="00D93A66" w14:paraId="7CB7B064" w14:textId="77777777" w:rsidTr="00D93C69">
        <w:trPr>
          <w:gridAfter w:val="1"/>
          <w:wAfter w:w="406" w:type="dxa"/>
        </w:trPr>
        <w:tc>
          <w:tcPr>
            <w:tcW w:w="1852" w:type="dxa"/>
            <w:gridSpan w:val="2"/>
          </w:tcPr>
          <w:p w14:paraId="5616E739" w14:textId="77777777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2203" w:type="dxa"/>
            <w:gridSpan w:val="5"/>
          </w:tcPr>
          <w:p w14:paraId="1246F4E9" w14:textId="77777777" w:rsidR="006D6214" w:rsidRPr="00C57164" w:rsidRDefault="006D6214" w:rsidP="006D6214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The proposed</w:t>
            </w:r>
          </w:p>
          <w:p w14:paraId="472E57B3" w14:textId="77777777" w:rsidR="006D6214" w:rsidRPr="00C57164" w:rsidRDefault="006D6214" w:rsidP="006D6214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modifications</w:t>
            </w:r>
          </w:p>
          <w:p w14:paraId="57E74BB0" w14:textId="3A83D9C2" w:rsidR="006D6214" w:rsidRPr="00C57164" w:rsidRDefault="006D6214" w:rsidP="006D6214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seek to provide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reasons for the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deletion of No</w:t>
            </w:r>
          </w:p>
          <w:p w14:paraId="47B1553E" w14:textId="65DF53A3" w:rsidR="00164672" w:rsidRPr="00B908A8" w:rsidRDefault="006D6214" w:rsidP="006D6214">
            <w:pPr>
              <w:wordWrap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Change method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872707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since </w:t>
            </w:r>
            <w:r w:rsidR="00872707" w:rsidRPr="006B3BF9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0"/>
                <w:lang w:val="en-GB" w:eastAsia="en-US"/>
              </w:rPr>
              <w:t>this</w:t>
            </w:r>
            <w:r w:rsidRPr="006B3BF9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0"/>
                <w:lang w:val="en-GB" w:eastAsia="en-US"/>
              </w:rPr>
              <w:t xml:space="preserve"> method does not provide an appropriate response to the requirements of EESS (passive)</w:t>
            </w:r>
          </w:p>
        </w:tc>
        <w:tc>
          <w:tcPr>
            <w:tcW w:w="1789" w:type="dxa"/>
            <w:gridSpan w:val="2"/>
          </w:tcPr>
          <w:p w14:paraId="6790DC6D" w14:textId="356A2F57" w:rsidR="004F0F2A" w:rsidRPr="00C57164" w:rsidRDefault="004F0F2A" w:rsidP="004F0F2A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The proposed</w:t>
            </w:r>
          </w:p>
          <w:p w14:paraId="3B653E21" w14:textId="45A6F6BF" w:rsidR="004F0F2A" w:rsidRPr="00C57164" w:rsidRDefault="004F0F2A" w:rsidP="004F0F2A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modifications</w:t>
            </w:r>
          </w:p>
          <w:p w14:paraId="360D4D7B" w14:textId="3ED41C84" w:rsidR="004F0F2A" w:rsidRPr="00C57164" w:rsidRDefault="004F0F2A" w:rsidP="004F0F2A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seek to provide reasons for </w:t>
            </w:r>
            <w:proofErr w:type="gramStart"/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the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deletion</w:t>
            </w:r>
            <w:proofErr w:type="gramEnd"/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of No</w:t>
            </w:r>
          </w:p>
          <w:p w14:paraId="791FF5B3" w14:textId="638F78F8" w:rsidR="00164672" w:rsidRPr="00B908A8" w:rsidRDefault="004F0F2A" w:rsidP="004F0F2A">
            <w:pPr>
              <w:wordWrap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Change method</w:t>
            </w:r>
            <w:r w:rsidR="006B3BF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872707">
              <w:rPr>
                <w:rFonts w:cstheme="minorHAnsi"/>
                <w:bCs/>
                <w:sz w:val="24"/>
                <w:szCs w:val="24"/>
                <w:lang w:eastAsia="zh-CN"/>
              </w:rPr>
              <w:t>sinc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e </w:t>
            </w:r>
            <w:r w:rsidR="00872707" w:rsidRPr="006B3BF9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0"/>
                <w:lang w:val="en-GB" w:eastAsia="en-US"/>
              </w:rPr>
              <w:t>this</w:t>
            </w:r>
            <w:r w:rsidR="006B3BF9" w:rsidRPr="006B3BF9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0"/>
                <w:lang w:val="en-GB" w:eastAsia="en-US"/>
              </w:rPr>
              <w:t xml:space="preserve"> method does not provide an appropriate response to the requirements of EESS (passive)</w:t>
            </w:r>
          </w:p>
        </w:tc>
        <w:tc>
          <w:tcPr>
            <w:tcW w:w="2971" w:type="dxa"/>
            <w:gridSpan w:val="2"/>
          </w:tcPr>
          <w:p w14:paraId="44F1AF0A" w14:textId="3DF40631" w:rsidR="00164672" w:rsidRPr="00C57164" w:rsidRDefault="00164672" w:rsidP="004F0F2A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The proposed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modifications</w:t>
            </w:r>
          </w:p>
          <w:p w14:paraId="45141638" w14:textId="77777777" w:rsidR="006B7082" w:rsidRDefault="00164672" w:rsidP="004F0F2A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seek to provide reasons for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the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deletion of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No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Change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method, as well as,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         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4F0F2A"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implementation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>of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power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limit on FS and MS in the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C57164">
              <w:rPr>
                <w:rFonts w:cstheme="minorHAnsi"/>
                <w:bCs/>
                <w:sz w:val="24"/>
                <w:szCs w:val="24"/>
                <w:lang w:eastAsia="zh-CN"/>
              </w:rPr>
              <w:t>frequency band 239.2-242.2GHz and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addition of a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 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provision to ensure that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</w:t>
            </w:r>
          </w:p>
          <w:p w14:paraId="5DD4F8D1" w14:textId="48B2F584" w:rsidR="00164672" w:rsidRPr="00164672" w:rsidRDefault="006B7082" w:rsidP="004F0F2A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there </w:t>
            </w:r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will be no potential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</w:t>
            </w:r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future </w:t>
            </w:r>
            <w:r w:rsidR="004F0F2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impact to the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      </w:t>
            </w:r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FS/MS in </w:t>
            </w:r>
            <w:proofErr w:type="gramStart"/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the 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>frequency</w:t>
            </w:r>
            <w:proofErr w:type="gramEnd"/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     </w:t>
            </w:r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>band 235-238</w:t>
            </w:r>
            <w:r w:rsidR="00D93C6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164672">
              <w:rPr>
                <w:rFonts w:cstheme="minorHAnsi"/>
                <w:bCs/>
                <w:sz w:val="24"/>
                <w:szCs w:val="24"/>
                <w:lang w:eastAsia="zh-CN"/>
              </w:rPr>
              <w:t>GHz.</w:t>
            </w:r>
          </w:p>
        </w:tc>
        <w:tc>
          <w:tcPr>
            <w:tcW w:w="2344" w:type="dxa"/>
          </w:tcPr>
          <w:p w14:paraId="6A3F9AB1" w14:textId="2D89AA2F" w:rsidR="00D93C69" w:rsidRPr="00D93C69" w:rsidRDefault="00D93C69" w:rsidP="00D93C69">
            <w:pPr>
              <w:widowControl/>
              <w:tabs>
                <w:tab w:val="left" w:pos="1134"/>
                <w:tab w:val="left" w:pos="1871"/>
                <w:tab w:val="left" w:pos="2268"/>
              </w:tabs>
              <w:wordWrap/>
              <w:overflowPunct w:val="0"/>
              <w:adjustRightInd w:val="0"/>
              <w:spacing w:before="120"/>
              <w:ind w:leftChars="118" w:left="236"/>
              <w:jc w:val="left"/>
              <w:textAlignment w:val="baseline"/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</w:pP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 xml:space="preserve">This administration proposes to 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us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>e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 the </w:t>
            </w:r>
            <w:proofErr w:type="spellStart"/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e.i.r.p</w:t>
            </w:r>
            <w:proofErr w:type="spellEnd"/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 power density limit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 xml:space="preserve"> instead of 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transmission power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 xml:space="preserve"> as 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the limit requirement 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 xml:space="preserve">in 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5.A114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 xml:space="preserve"> for 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protect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 xml:space="preserve">ion of 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EESS (passive) services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 xml:space="preserve">. 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The specific value is recommended to be </w:t>
            </w:r>
            <w:r w:rsidRPr="00D93C69">
              <w:rPr>
                <w:rFonts w:ascii="Times New Roman" w:eastAsia="SimSun" w:hAnsi="Times New Roman" w:cs="Times New Roman" w:hint="eastAsia"/>
                <w:kern w:val="0"/>
                <w:sz w:val="24"/>
                <w:szCs w:val="20"/>
                <w:lang w:val="en-GB" w:eastAsia="zh-CN"/>
              </w:rPr>
              <w:t>3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dBW/GHz (67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-</w:t>
            </w:r>
            <w:r w:rsidRPr="00D93C69">
              <w:rPr>
                <w:rFonts w:ascii="Times New Roman" w:eastAsia="SimSun" w:hAnsi="Times New Roman" w:cs="Times New Roman"/>
                <w:kern w:val="0"/>
                <w:sz w:val="24"/>
                <w:szCs w:val="20"/>
                <w:lang w:val="en-GB" w:eastAsia="zh-CN"/>
              </w:rPr>
              <w:t>34=33dBm/GHz).</w:t>
            </w:r>
          </w:p>
          <w:p w14:paraId="4E5A63E9" w14:textId="77777777" w:rsidR="00164672" w:rsidRDefault="0016467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7438" w:rsidRPr="00D93A66" w14:paraId="74501590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2DF6E8DC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33D39441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3F5826C1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1433002E" w14:textId="77777777" w:rsidTr="00D93C69">
        <w:trPr>
          <w:gridAfter w:val="1"/>
          <w:wAfter w:w="406" w:type="dxa"/>
        </w:trPr>
        <w:tc>
          <w:tcPr>
            <w:tcW w:w="3275" w:type="dxa"/>
            <w:gridSpan w:val="5"/>
          </w:tcPr>
          <w:p w14:paraId="56EB48CB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884" w:type="dxa"/>
            <w:gridSpan w:val="7"/>
          </w:tcPr>
          <w:p w14:paraId="2F1BF844" w14:textId="63E27F58" w:rsidR="00154856" w:rsidRPr="00587CB1" w:rsidRDefault="00E55BB2" w:rsidP="00EF48C0">
            <w:pPr>
              <w:jc w:val="left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587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Working documents: </w:t>
            </w:r>
            <w:hyperlink r:id="rId8" w:history="1">
              <w:r w:rsidR="00B7511A" w:rsidRPr="00587C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22 (Canada)</w:t>
              </w:r>
            </w:hyperlink>
            <w:r w:rsidR="00B7511A" w:rsidRPr="00587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154856" w:rsidRPr="00587CB1">
                <w:rPr>
                  <w:rStyle w:val="Hyperlink"/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</w:rPr>
                <w:t>4</w:t>
              </w:r>
              <w:r w:rsidR="00662B8C" w:rsidRPr="00587CB1">
                <w:rPr>
                  <w:rStyle w:val="Hyperlink"/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</w:rPr>
                <w:t>8</w:t>
              </w:r>
              <w:r w:rsidR="00154856" w:rsidRPr="00587CB1">
                <w:rPr>
                  <w:rStyle w:val="Hyperlink"/>
                  <w:rFonts w:ascii="Times New Roman" w:hAnsi="Times New Roman" w:cs="Times New Roman"/>
                  <w:color w:val="2E74B5" w:themeColor="accent5" w:themeShade="BF"/>
                  <w:sz w:val="24"/>
                  <w:szCs w:val="24"/>
                </w:rPr>
                <w:t> (ASMG)</w:t>
              </w:r>
            </w:hyperlink>
            <w:r w:rsidR="00154856" w:rsidRPr="00587CB1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, </w:t>
            </w:r>
            <w:hyperlink r:id="rId10" w:history="1">
              <w:r w:rsidR="00B7511A" w:rsidRPr="00587C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62(CHN)</w:t>
              </w:r>
            </w:hyperlink>
            <w:r w:rsidR="00B7511A" w:rsidRPr="0058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F48C0" w:rsidRPr="00587C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136</w:t>
              </w:r>
              <w:r w:rsidR="00154856" w:rsidRPr="00587C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 (</w:t>
              </w:r>
              <w:r w:rsidR="00EF48C0" w:rsidRPr="00587C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ATU</w:t>
              </w:r>
              <w:r w:rsidR="00154856" w:rsidRPr="00587C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),</w:t>
              </w:r>
            </w:hyperlink>
            <w:r w:rsidR="00154856" w:rsidRPr="00587CB1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</w:p>
          <w:p w14:paraId="35B1E8F1" w14:textId="77777777" w:rsidR="00EF48C0" w:rsidRPr="00587CB1" w:rsidRDefault="00EF48C0" w:rsidP="00EF48C0">
            <w:pPr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0EB926E" w14:textId="03A71D7D" w:rsidR="00AE6BFE" w:rsidRPr="00587CB1" w:rsidRDefault="00006A01" w:rsidP="006B708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Topic proposed by these contributions:</w:t>
            </w:r>
          </w:p>
          <w:p w14:paraId="1C29A7A3" w14:textId="18CFB578" w:rsidR="00006A01" w:rsidRPr="00587CB1" w:rsidRDefault="00486502" w:rsidP="00AE6BFE">
            <w:pPr>
              <w:pStyle w:val="ListParagraph"/>
              <w:numPr>
                <w:ilvl w:val="0"/>
                <w:numId w:val="6"/>
              </w:numPr>
              <w:wordWrap/>
              <w:ind w:left="357" w:hanging="3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Modification of Summary of result of ITU-R Study</w:t>
            </w:r>
            <w:r w:rsidR="00AE6BFE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and</w:t>
            </w:r>
            <w:r w:rsidR="00AE6BFE" w:rsidRPr="00587CB1">
              <w:rPr>
                <w:rFonts w:ascii="Times New Roman" w:hAnsi="Times New Roman" w:cs="Times New Roman"/>
              </w:rPr>
              <w:t xml:space="preserve"> </w:t>
            </w:r>
            <w:r w:rsidR="00AE6BFE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Methods to satisfy </w:t>
            </w:r>
            <w:r w:rsidR="00AE6BFE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the agenda item</w:t>
            </w:r>
            <w:r w:rsidR="00CE474B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14:paraId="12053B87" w14:textId="011C762F" w:rsidR="00486502" w:rsidRPr="00587CB1" w:rsidRDefault="00486502" w:rsidP="00E3256E">
            <w:pPr>
              <w:pStyle w:val="ListParagraph"/>
              <w:numPr>
                <w:ilvl w:val="0"/>
                <w:numId w:val="6"/>
              </w:numPr>
              <w:wordWrap/>
              <w:ind w:left="357" w:hanging="3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Providing reasons for Method </w:t>
            </w:r>
            <w:r w:rsidR="006B7082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C</w:t>
            </w:r>
            <w:r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(NOC)</w:t>
            </w:r>
            <w:r w:rsidR="00CE474B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14:paraId="1B548304" w14:textId="3602FCBC" w:rsidR="009123FC" w:rsidRPr="00587CB1" w:rsidRDefault="008415C6" w:rsidP="000811DB">
            <w:pPr>
              <w:pStyle w:val="ListParagraph"/>
              <w:numPr>
                <w:ilvl w:val="0"/>
                <w:numId w:val="6"/>
              </w:numPr>
              <w:wordWrap/>
              <w:ind w:left="357" w:hanging="35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Modification</w:t>
            </w:r>
            <w:r w:rsidR="00032CA4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</w:t>
            </w:r>
            <w:r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of Method </w:t>
            </w:r>
            <w:r w:rsidR="006B7082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A and B</w:t>
            </w:r>
            <w:r w:rsidR="0060442D" w:rsidRPr="00587CB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6C7438" w:rsidRPr="00D93A66" w14:paraId="5E542985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  <w:vAlign w:val="center"/>
          </w:tcPr>
          <w:p w14:paraId="237BA26F" w14:textId="024F3F5F" w:rsidR="00B5057D" w:rsidRPr="008B7612" w:rsidRDefault="00B5057D" w:rsidP="001E2D4F">
            <w:pPr>
              <w:wordWrap/>
              <w:spacing w:afterLines="50" w:after="12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lastRenderedPageBreak/>
              <w:t xml:space="preserve">The CPM 23-2 meeting finalized the </w:t>
            </w:r>
            <w:r w:rsidR="0099130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modifications</w:t>
            </w:r>
            <w:r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r w:rsidR="0099130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</w:t>
            </w:r>
            <w:r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the Draft CPM text of Agenda Item 1.1</w:t>
            </w:r>
            <w:r w:rsidR="006B7082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4</w:t>
            </w:r>
            <w:r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as shown in </w:t>
            </w:r>
            <w:r w:rsidR="0099130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TEMP</w:t>
            </w:r>
            <w:r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document </w:t>
            </w:r>
            <w:r w:rsidR="0099130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CPM23-2/DT/2</w:t>
            </w:r>
            <w:r w:rsidR="00037FAC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which will be presented to WG 3 </w:t>
            </w:r>
            <w:r w:rsidR="006B7082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meeting</w:t>
            </w:r>
            <w:r w:rsidR="00037FAC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and, if approved, a subsequent plenary meeting.</w:t>
            </w:r>
          </w:p>
          <w:p w14:paraId="03932E5D" w14:textId="1A0C4D74" w:rsidR="003757D6" w:rsidRPr="003757D6" w:rsidRDefault="00983F17" w:rsidP="008B7612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After the discussion at the meeting, </w:t>
            </w:r>
            <w:r w:rsidR="006B7082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method A and B have been modified</w:t>
            </w:r>
            <w:r w:rsidR="00FF7ACF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for the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implementation of power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limit </w:t>
            </w:r>
            <w:proofErr w:type="spellStart"/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onFS</w:t>
            </w:r>
            <w:proofErr w:type="spellEnd"/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and MS in the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frequency band 239.2-242.2GHz and addition of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a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provision to ensure that</w:t>
            </w:r>
            <w:r w:rsid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there will be no</w:t>
            </w:r>
            <w:r w:rsidR="003757D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pote</w:t>
            </w:r>
            <w:r w:rsidR="003757D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ntial</w:t>
            </w:r>
            <w:proofErr w:type="spellEnd"/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future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impact to the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FS/MS in the frequency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F7ACF" w:rsidRPr="008B761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band 235-238 GHz.</w:t>
            </w:r>
            <w:r w:rsidR="00C72A1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 </w:t>
            </w:r>
            <w:r w:rsidR="003757D6" w:rsidRPr="003757D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In order to avoid undue constraints on the FS and MS 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in the frequency band 239.2-241 GHz (1.8 GHz of BW), in accordance </w:t>
            </w:r>
            <w:r w:rsidR="003757D6" w:rsidRPr="003757D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with Resolution </w:t>
            </w:r>
            <w:r w:rsidR="003757D6" w:rsidRPr="003757D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n-GB" w:eastAsia="en-US"/>
              </w:rPr>
              <w:t>662 (WRC-19)</w:t>
            </w:r>
            <w:r w:rsidR="003757D6" w:rsidRPr="003757D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,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the existing FS and MS allocations could be shifted to the frequency band 235-238 GHz (3 GHz of BW). With such a shift, the potential of interference to the EESS (passive) could be avoided and no constraints would have to be placed on the FS and MS</w:t>
            </w:r>
            <w:r w:rsid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. 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>On the contrary, the FS and MS would gain 1.2 GHz of additional primary allocations, and the two frequency ranges 231.5-235 GHz (3.5 GHz of BW) and 238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noBreakHyphen/>
              <w:t xml:space="preserve">241 GHz (3 GHz of BW) would be </w:t>
            </w:r>
            <w:r w:rsid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  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transformed into one block of contiguous allocations in the frequency range 231.5-239.2 GHz (7.7 GHz of </w:t>
            </w:r>
            <w:r w:rsid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                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contiguous BW). </w:t>
            </w:r>
            <w:r w:rsidR="003757D6" w:rsidRPr="003757D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Since there is no FS/MS stations deployment at present, this shift has no impact on the future </w:t>
            </w:r>
            <w:r w:rsidR="003757D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    </w:t>
            </w:r>
            <w:r w:rsidR="003757D6" w:rsidRPr="003757D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usage of 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the </w:t>
            </w:r>
            <w:r w:rsidR="003757D6" w:rsidRPr="003757D6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FS/MS.</w:t>
            </w:r>
            <w:r w:rsidR="003757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In addition, such a shift would not negatively affect the existing services in the frequency </w:t>
            </w:r>
            <w:r w:rsid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     </w:t>
            </w:r>
            <w:r w:rsidR="003757D6" w:rsidRPr="003757D6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val="en-GB" w:eastAsia="en-US"/>
              </w:rPr>
              <w:t>band 235-238 GHz.</w:t>
            </w:r>
          </w:p>
          <w:p w14:paraId="6DA9B9B6" w14:textId="77777777" w:rsidR="008B7612" w:rsidRPr="00AC2A4C" w:rsidRDefault="008B7612" w:rsidP="001E2D4F">
            <w:pPr>
              <w:wordWrap/>
              <w:spacing w:afterLines="50" w:after="120"/>
              <w:rPr>
                <w:rFonts w:ascii="Times New Roman" w:eastAsia="Malgun Gothic" w:hAnsi="Times New Roman" w:cs="Times New Roman"/>
                <w:bCs/>
                <w:sz w:val="6"/>
                <w:szCs w:val="6"/>
              </w:rPr>
            </w:pPr>
          </w:p>
          <w:p w14:paraId="59133C3D" w14:textId="2EEDA398" w:rsidR="00B5057D" w:rsidRPr="008B7612" w:rsidRDefault="001E2D4F" w:rsidP="001E2D4F">
            <w:pPr>
              <w:wordWrap/>
              <w:spacing w:afterLines="50" w:after="12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I</w:t>
            </w:r>
            <w:r w:rsidR="00C72A1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n </w:t>
            </w:r>
            <w:r w:rsidR="003D5550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the TEMP</w:t>
            </w:r>
            <w:r w:rsidR="00C72A1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document, there are </w:t>
            </w:r>
            <w:r w:rsidR="00FF7ACF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3</w:t>
            </w:r>
            <w:r w:rsidR="00C72A1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r w:rsidR="003D5550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</w:t>
            </w:r>
            <w:r w:rsidR="00C72A13" w:rsidRPr="008B7612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ethods to satisfy this agenda item:</w:t>
            </w:r>
          </w:p>
          <w:p w14:paraId="67423504" w14:textId="618F9207" w:rsidR="00B84A0D" w:rsidRPr="00B84A0D" w:rsidRDefault="003D5550" w:rsidP="0038510C">
            <w:pPr>
              <w:pStyle w:val="ListParagraph"/>
              <w:numPr>
                <w:ilvl w:val="0"/>
                <w:numId w:val="6"/>
              </w:numPr>
              <w:wordWrap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84A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Method A: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2375D7" w:rsidRPr="00B5057D">
              <w:rPr>
                <w:rFonts w:eastAsia="Malgun Gothic" w:cstheme="minorHAnsi"/>
                <w:bCs/>
                <w:sz w:val="24"/>
                <w:szCs w:val="24"/>
              </w:rPr>
              <w:t xml:space="preserve">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Addition of new primary allocations to the EESS (passive) in the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frequency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bands 239.2-242.2 GHz and 244.2-247.2 GHz,</w:t>
            </w:r>
            <w:r w:rsid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and implementation of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power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limits</w:t>
            </w:r>
            <w:r w:rsid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on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the FS and MS in the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frequency band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239.2-241 GHz;</w:t>
            </w:r>
          </w:p>
          <w:p w14:paraId="5BE211CD" w14:textId="77777777" w:rsidR="00B84A0D" w:rsidRPr="00AC2A4C" w:rsidRDefault="00B84A0D" w:rsidP="00B84A0D">
            <w:pPr>
              <w:wordWrap/>
              <w:rPr>
                <w:rFonts w:cstheme="minorHAnsi"/>
                <w:bCs/>
                <w:sz w:val="6"/>
                <w:szCs w:val="6"/>
                <w:lang w:eastAsia="zh-CN"/>
              </w:rPr>
            </w:pPr>
          </w:p>
          <w:p w14:paraId="4E9CB81F" w14:textId="05062972" w:rsidR="00B84A0D" w:rsidRPr="00B84A0D" w:rsidRDefault="002375D7" w:rsidP="00B84A0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</w:pPr>
            <w:r w:rsidRPr="00B84A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Method B:</w:t>
            </w:r>
            <w:r w:rsidRPr="00B84A0D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Addition of new primary allocations to the EESS (passive) in the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frequency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bands 239.2-242.2 </w:t>
            </w:r>
            <w:r w:rsidR="00017D82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 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GHz and 244.2-247.2 GHz, switch of the current FS and MS allocations in the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frequency band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239.2-241 </w:t>
            </w:r>
            <w:r w:rsidR="00017D82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   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GHz to the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zh-CN"/>
              </w:rPr>
              <w:t xml:space="preserve">frequency band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235-238 GHz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and limitation of the EESS(passive) allocation in the 235-238 GHz </w:t>
            </w:r>
            <w:r w:rsidR="00017D82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 xml:space="preserve"> </w:t>
            </w:r>
            <w:r w:rsidR="00B84A0D" w:rsidRPr="00B84A0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GB" w:eastAsia="en-US"/>
              </w:rPr>
              <w:t>to limb-sounding operations.</w:t>
            </w:r>
          </w:p>
          <w:p w14:paraId="62501213" w14:textId="77777777" w:rsidR="00B84A0D" w:rsidRPr="00AC2A4C" w:rsidRDefault="00B84A0D" w:rsidP="00B84A0D">
            <w:pPr>
              <w:rPr>
                <w:rFonts w:ascii="Times New Roman" w:eastAsia="Times New Roman" w:hAnsi="Times New Roman" w:cs="Times New Roman"/>
                <w:kern w:val="0"/>
                <w:sz w:val="8"/>
                <w:szCs w:val="4"/>
                <w:lang w:val="en-GB" w:eastAsia="en-US"/>
              </w:rPr>
            </w:pPr>
          </w:p>
          <w:p w14:paraId="039AA262" w14:textId="361CE6B1" w:rsidR="00B5057D" w:rsidRPr="00B84A0D" w:rsidRDefault="0038510C" w:rsidP="00B84A0D">
            <w:pPr>
              <w:pStyle w:val="ListParagraph"/>
              <w:numPr>
                <w:ilvl w:val="0"/>
                <w:numId w:val="6"/>
              </w:numPr>
              <w:wordWrap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84A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Method C: </w:t>
            </w:r>
            <w:r w:rsidR="00B84A0D" w:rsidRPr="00B84A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No change</w:t>
            </w:r>
          </w:p>
        </w:tc>
      </w:tr>
      <w:tr w:rsidR="007E7577" w:rsidRPr="00D93A66" w14:paraId="1F32501E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5DC9BBB1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5231A4B8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68384811" w14:textId="7777777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02E956E4" w14:textId="77777777" w:rsidTr="00D93C69">
        <w:trPr>
          <w:gridAfter w:val="1"/>
          <w:wAfter w:w="406" w:type="dxa"/>
        </w:trPr>
        <w:tc>
          <w:tcPr>
            <w:tcW w:w="11159" w:type="dxa"/>
            <w:gridSpan w:val="12"/>
          </w:tcPr>
          <w:p w14:paraId="5588F9F0" w14:textId="70ACF76F" w:rsidR="007E7577" w:rsidRPr="0077095D" w:rsidRDefault="00AC1669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None.</w:t>
            </w:r>
          </w:p>
        </w:tc>
      </w:tr>
    </w:tbl>
    <w:p w14:paraId="4CB70F1E" w14:textId="77777777" w:rsidR="009977D0" w:rsidRDefault="009977D0"/>
    <w:p w14:paraId="25CBC4C6" w14:textId="77777777" w:rsidR="00D93A66" w:rsidRDefault="00D93A66"/>
    <w:p w14:paraId="1548A65D" w14:textId="77777777" w:rsidR="00D93A66" w:rsidRDefault="00D93A66"/>
    <w:sectPr w:rsidR="00D93A66" w:rsidSect="00B466C9">
      <w:headerReference w:type="default" r:id="rId12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DF4B" w14:textId="77777777" w:rsidR="00122AF6" w:rsidRDefault="00122AF6" w:rsidP="00D93A66">
      <w:pPr>
        <w:spacing w:after="0" w:line="240" w:lineRule="auto"/>
      </w:pPr>
      <w:r>
        <w:separator/>
      </w:r>
    </w:p>
  </w:endnote>
  <w:endnote w:type="continuationSeparator" w:id="0">
    <w:p w14:paraId="67F65BB5" w14:textId="77777777" w:rsidR="00122AF6" w:rsidRDefault="00122AF6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A8B0" w14:textId="77777777" w:rsidR="00122AF6" w:rsidRDefault="00122AF6" w:rsidP="00D93A66">
      <w:pPr>
        <w:spacing w:after="0" w:line="240" w:lineRule="auto"/>
      </w:pPr>
      <w:r>
        <w:separator/>
      </w:r>
    </w:p>
  </w:footnote>
  <w:footnote w:type="continuationSeparator" w:id="0">
    <w:p w14:paraId="1D2D5397" w14:textId="77777777" w:rsidR="00122AF6" w:rsidRDefault="00122AF6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D686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221B997D" w14:textId="77777777"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17DC1CD7" w14:textId="77777777" w:rsidR="00D93A66" w:rsidRDefault="00D9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139"/>
    <w:multiLevelType w:val="hybridMultilevel"/>
    <w:tmpl w:val="D15687D2"/>
    <w:lvl w:ilvl="0" w:tplc="4AD2BB4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7140AC4"/>
    <w:multiLevelType w:val="hybridMultilevel"/>
    <w:tmpl w:val="DF74FD86"/>
    <w:lvl w:ilvl="0" w:tplc="80DCD9B0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1"/>
  </w:num>
  <w:num w:numId="3" w16cid:durableId="671831323">
    <w:abstractNumId w:val="4"/>
  </w:num>
  <w:num w:numId="4" w16cid:durableId="534081018">
    <w:abstractNumId w:val="5"/>
  </w:num>
  <w:num w:numId="5" w16cid:durableId="1268737876">
    <w:abstractNumId w:val="3"/>
  </w:num>
  <w:num w:numId="6" w16cid:durableId="10284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06A01"/>
    <w:rsid w:val="0001469D"/>
    <w:rsid w:val="00017D82"/>
    <w:rsid w:val="00021CDB"/>
    <w:rsid w:val="00032CA4"/>
    <w:rsid w:val="00037FAC"/>
    <w:rsid w:val="00057D04"/>
    <w:rsid w:val="000811DB"/>
    <w:rsid w:val="000E0BFB"/>
    <w:rsid w:val="000F345D"/>
    <w:rsid w:val="00122AF6"/>
    <w:rsid w:val="00136A80"/>
    <w:rsid w:val="00143CAB"/>
    <w:rsid w:val="00154856"/>
    <w:rsid w:val="00164672"/>
    <w:rsid w:val="00195F6D"/>
    <w:rsid w:val="001E2D4F"/>
    <w:rsid w:val="002375D7"/>
    <w:rsid w:val="002409EA"/>
    <w:rsid w:val="0029461B"/>
    <w:rsid w:val="002B05E5"/>
    <w:rsid w:val="002C5399"/>
    <w:rsid w:val="002E379A"/>
    <w:rsid w:val="00326745"/>
    <w:rsid w:val="0034507A"/>
    <w:rsid w:val="00372A30"/>
    <w:rsid w:val="003757D6"/>
    <w:rsid w:val="0038510C"/>
    <w:rsid w:val="003D5550"/>
    <w:rsid w:val="00404268"/>
    <w:rsid w:val="004218C6"/>
    <w:rsid w:val="00486502"/>
    <w:rsid w:val="004C36E2"/>
    <w:rsid w:val="004F0F2A"/>
    <w:rsid w:val="00532F3D"/>
    <w:rsid w:val="005462D5"/>
    <w:rsid w:val="00580AA6"/>
    <w:rsid w:val="005811C7"/>
    <w:rsid w:val="00587CB1"/>
    <w:rsid w:val="00591823"/>
    <w:rsid w:val="005E5CFA"/>
    <w:rsid w:val="0060442D"/>
    <w:rsid w:val="006464B2"/>
    <w:rsid w:val="00654773"/>
    <w:rsid w:val="00655504"/>
    <w:rsid w:val="00662B8C"/>
    <w:rsid w:val="006B3BF9"/>
    <w:rsid w:val="006B7082"/>
    <w:rsid w:val="006C7438"/>
    <w:rsid w:val="006D6214"/>
    <w:rsid w:val="006E12FC"/>
    <w:rsid w:val="00725CB3"/>
    <w:rsid w:val="0072771D"/>
    <w:rsid w:val="00734779"/>
    <w:rsid w:val="00743520"/>
    <w:rsid w:val="00752CC8"/>
    <w:rsid w:val="0077095D"/>
    <w:rsid w:val="007E7577"/>
    <w:rsid w:val="00801CF3"/>
    <w:rsid w:val="00822A34"/>
    <w:rsid w:val="008415C6"/>
    <w:rsid w:val="00856ADE"/>
    <w:rsid w:val="00872707"/>
    <w:rsid w:val="0089472E"/>
    <w:rsid w:val="008B5C1F"/>
    <w:rsid w:val="008B7612"/>
    <w:rsid w:val="00911E1F"/>
    <w:rsid w:val="009123FC"/>
    <w:rsid w:val="00952584"/>
    <w:rsid w:val="00983F17"/>
    <w:rsid w:val="00991303"/>
    <w:rsid w:val="009977D0"/>
    <w:rsid w:val="009C11B0"/>
    <w:rsid w:val="00A03195"/>
    <w:rsid w:val="00A46BA3"/>
    <w:rsid w:val="00AC1669"/>
    <w:rsid w:val="00AC28AF"/>
    <w:rsid w:val="00AC2A4C"/>
    <w:rsid w:val="00AE6BFE"/>
    <w:rsid w:val="00AF2366"/>
    <w:rsid w:val="00B16274"/>
    <w:rsid w:val="00B23555"/>
    <w:rsid w:val="00B2573C"/>
    <w:rsid w:val="00B466C9"/>
    <w:rsid w:val="00B5057D"/>
    <w:rsid w:val="00B6780E"/>
    <w:rsid w:val="00B67FDF"/>
    <w:rsid w:val="00B747D6"/>
    <w:rsid w:val="00B7511A"/>
    <w:rsid w:val="00B84A0D"/>
    <w:rsid w:val="00B908A8"/>
    <w:rsid w:val="00B96226"/>
    <w:rsid w:val="00BE4186"/>
    <w:rsid w:val="00BE4B0C"/>
    <w:rsid w:val="00C57164"/>
    <w:rsid w:val="00C61C3A"/>
    <w:rsid w:val="00C63D90"/>
    <w:rsid w:val="00C72A13"/>
    <w:rsid w:val="00C91AAA"/>
    <w:rsid w:val="00C97964"/>
    <w:rsid w:val="00CE474B"/>
    <w:rsid w:val="00D73A7D"/>
    <w:rsid w:val="00D834DA"/>
    <w:rsid w:val="00D93A66"/>
    <w:rsid w:val="00D93C69"/>
    <w:rsid w:val="00DF1977"/>
    <w:rsid w:val="00E00EC9"/>
    <w:rsid w:val="00E06782"/>
    <w:rsid w:val="00E3256E"/>
    <w:rsid w:val="00E32ABD"/>
    <w:rsid w:val="00E55BB2"/>
    <w:rsid w:val="00E81305"/>
    <w:rsid w:val="00EF48C0"/>
    <w:rsid w:val="00F10D2B"/>
    <w:rsid w:val="00F1297B"/>
    <w:rsid w:val="00F33BB9"/>
    <w:rsid w:val="00F3741F"/>
    <w:rsid w:val="00FE6D23"/>
    <w:rsid w:val="00FF089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DCC69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2e_AI%201.14%20CANADA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t.int/sites/default/files/2023/03/APG23-5-OUT-22_PV_AI1.14_ed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136e_AI%201.14%20AFRICAN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062e_AI%201.14%20CHI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048e_AI%201.14%20ASM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Dell</cp:lastModifiedBy>
  <cp:revision>21</cp:revision>
  <dcterms:created xsi:type="dcterms:W3CDTF">2023-04-03T05:24:00Z</dcterms:created>
  <dcterms:modified xsi:type="dcterms:W3CDTF">2023-04-03T06:40:00Z</dcterms:modified>
</cp:coreProperties>
</file>