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5214C73E"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2F296E">
              <w:rPr>
                <w:b/>
                <w:bCs/>
                <w:lang w:val="fr-FR"/>
              </w:rPr>
              <w:t>OUT</w:t>
            </w:r>
            <w:r>
              <w:rPr>
                <w:b/>
                <w:bCs/>
                <w:lang w:val="fr-FR"/>
              </w:rPr>
              <w:t>-</w:t>
            </w:r>
            <w:r w:rsidR="005622BF">
              <w:rPr>
                <w:b/>
                <w:bCs/>
                <w:lang w:val="fr-FR"/>
              </w:rPr>
              <w:t>32</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3CC1DE6B" w:rsidR="007E1FDD" w:rsidRPr="007E1FDD" w:rsidRDefault="00D2399F" w:rsidP="00C73F61">
            <w:pPr>
              <w:spacing w:before="40"/>
              <w:rPr>
                <w:bCs/>
              </w:rPr>
            </w:pPr>
            <w:r>
              <w:rPr>
                <w:bCs/>
              </w:rPr>
              <w:t>1</w:t>
            </w:r>
            <w:r w:rsidR="00293CBC">
              <w:rPr>
                <w:bCs/>
              </w:rPr>
              <w:t>9</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5C189B2D" w:rsidR="009D4B7A" w:rsidRPr="002A0111" w:rsidRDefault="009D4B7A" w:rsidP="009D4B7A">
      <w:pPr>
        <w:jc w:val="center"/>
        <w:rPr>
          <w:lang w:val="en-NZ" w:eastAsia="ko-KR"/>
        </w:rPr>
      </w:pPr>
      <w:r w:rsidRPr="002A0111">
        <w:rPr>
          <w:lang w:val="en-NZ" w:eastAsia="ko-KR"/>
        </w:rPr>
        <w:t xml:space="preserve">Working Party </w:t>
      </w:r>
      <w:r w:rsidR="00CA0DFA">
        <w:rPr>
          <w:lang w:val="en-NZ" w:eastAsia="ko-KR"/>
        </w:rPr>
        <w:t>5</w:t>
      </w:r>
    </w:p>
    <w:p w14:paraId="72A6339A" w14:textId="77777777" w:rsidR="009D4B7A" w:rsidRPr="002A0111" w:rsidRDefault="009D4B7A" w:rsidP="009D4B7A">
      <w:pPr>
        <w:jc w:val="center"/>
        <w:rPr>
          <w:bCs/>
          <w:caps/>
          <w:lang w:val="en-NZ"/>
        </w:rPr>
      </w:pPr>
    </w:p>
    <w:p w14:paraId="6D168BD3" w14:textId="3705E743"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Preliminary APT Common Proposal</w:t>
      </w:r>
      <w:r w:rsidR="00C64002">
        <w:rPr>
          <w:b/>
          <w:bCs/>
          <w:caps/>
          <w:lang w:val="en-NZ"/>
        </w:rPr>
        <w:t xml:space="preserve"> </w:t>
      </w:r>
      <w:r w:rsidR="009D4B7A" w:rsidRPr="00441526">
        <w:rPr>
          <w:b/>
          <w:bCs/>
          <w:caps/>
          <w:lang w:val="en-NZ"/>
        </w:rPr>
        <w:t>on</w:t>
      </w:r>
      <w:r w:rsidR="00C64002">
        <w:rPr>
          <w:b/>
          <w:bCs/>
          <w:caps/>
          <w:lang w:val="en-NZ"/>
        </w:rPr>
        <w:br/>
      </w:r>
      <w:r w:rsidR="009D4B7A" w:rsidRPr="00441526">
        <w:rPr>
          <w:b/>
          <w:bCs/>
          <w:caps/>
          <w:lang w:val="en-NZ"/>
        </w:rPr>
        <w:t>WRC-</w:t>
      </w:r>
      <w:r w:rsidR="009D4B7A">
        <w:rPr>
          <w:b/>
          <w:bCs/>
          <w:caps/>
          <w:lang w:val="en-NZ"/>
        </w:rPr>
        <w:t>23</w:t>
      </w:r>
      <w:r w:rsidR="009D4B7A" w:rsidRPr="00441526">
        <w:rPr>
          <w:b/>
          <w:bCs/>
          <w:caps/>
          <w:lang w:val="en-NZ"/>
        </w:rPr>
        <w:t xml:space="preserve"> agenda item </w:t>
      </w:r>
      <w:r w:rsidR="00CA0DFA">
        <w:rPr>
          <w:b/>
          <w:bCs/>
          <w:caps/>
          <w:lang w:val="en-NZ"/>
        </w:rPr>
        <w:t>2</w:t>
      </w:r>
    </w:p>
    <w:p w14:paraId="3E1BE721" w14:textId="77777777" w:rsidR="007D27B1" w:rsidRDefault="007D27B1" w:rsidP="007D27B1">
      <w:pPr>
        <w:jc w:val="both"/>
        <w:rPr>
          <w:b/>
          <w:lang w:val="en-NZ"/>
        </w:rPr>
      </w:pPr>
    </w:p>
    <w:p w14:paraId="48CFB0D0" w14:textId="77777777" w:rsidR="00C64002" w:rsidRDefault="00C64002" w:rsidP="007D27B1">
      <w:pPr>
        <w:jc w:val="both"/>
        <w:rPr>
          <w:b/>
          <w:lang w:val="en-NZ"/>
        </w:rPr>
      </w:pPr>
    </w:p>
    <w:p w14:paraId="153E24F4" w14:textId="750A0107" w:rsidR="009D4B7A" w:rsidRPr="00441526" w:rsidRDefault="009D4B7A" w:rsidP="009D4B7A">
      <w:pPr>
        <w:spacing w:after="120"/>
        <w:jc w:val="both"/>
        <w:rPr>
          <w:lang w:val="en-NZ"/>
        </w:rPr>
      </w:pPr>
      <w:r w:rsidRPr="00441526">
        <w:rPr>
          <w:b/>
          <w:lang w:val="en-NZ"/>
        </w:rPr>
        <w:t xml:space="preserve">Agenda Item </w:t>
      </w:r>
      <w:r w:rsidR="007D27B1">
        <w:rPr>
          <w:b/>
          <w:lang w:val="en-NZ"/>
        </w:rPr>
        <w:t>2</w:t>
      </w:r>
      <w:r w:rsidRPr="00441526">
        <w:rPr>
          <w:b/>
          <w:lang w:val="en-NZ"/>
        </w:rPr>
        <w:t xml:space="preserve">: </w:t>
      </w:r>
    </w:p>
    <w:p w14:paraId="0CFCDB02" w14:textId="77777777" w:rsidR="007F1246" w:rsidRDefault="007F1246" w:rsidP="007F1246">
      <w:pPr>
        <w:rPr>
          <w:i/>
          <w:iCs/>
        </w:rPr>
      </w:pPr>
      <w:r>
        <w:rPr>
          <w:i/>
          <w:iCs/>
        </w:rPr>
        <w:t xml:space="preserve">to examine the revised ITU-R Recommendations incorporated by reference in the Radio </w:t>
      </w:r>
    </w:p>
    <w:p w14:paraId="5B6A94BF" w14:textId="77777777" w:rsidR="007F1246" w:rsidRPr="00E23EF2" w:rsidRDefault="007F1246" w:rsidP="007F1246">
      <w:pPr>
        <w:rPr>
          <w:b/>
        </w:rPr>
      </w:pPr>
      <w:r>
        <w:rPr>
          <w:i/>
          <w:iCs/>
        </w:rPr>
        <w:t>Regulations communicated by the Radiocommunication Assembly, in accordance wit</w:t>
      </w:r>
      <w:r>
        <w:rPr>
          <w:rFonts w:eastAsia="MS Mincho"/>
          <w:i/>
          <w:iCs/>
          <w:lang w:eastAsia="ja-JP"/>
        </w:rPr>
        <w:t xml:space="preserve">h the </w:t>
      </w:r>
      <w:r>
        <w:rPr>
          <w:i/>
          <w:iCs/>
        </w:rPr>
        <w:t xml:space="preserve">further resolves of Resolution </w:t>
      </w:r>
      <w:r>
        <w:rPr>
          <w:b/>
          <w:bCs/>
          <w:i/>
          <w:iCs/>
        </w:rPr>
        <w:t>27 (Rev.W</w:t>
      </w:r>
      <w:r w:rsidRPr="00FC38FE">
        <w:rPr>
          <w:b/>
          <w:bCs/>
          <w:i/>
          <w:iCs/>
        </w:rPr>
        <w:t>RC-19)</w:t>
      </w:r>
      <w:r w:rsidRPr="00FC38FE">
        <w:rPr>
          <w:i/>
          <w:iCs/>
        </w:rPr>
        <w:t>, and to decide whether or not to update the correspon</w:t>
      </w:r>
      <w:r w:rsidRPr="00E23EF2">
        <w:rPr>
          <w:i/>
          <w:iCs/>
        </w:rPr>
        <w:t>ding references in the Radio Regulations, in accordance with the principles contained in the resolves of that Resolution;</w:t>
      </w:r>
    </w:p>
    <w:p w14:paraId="22D95CFD" w14:textId="77777777" w:rsidR="007F1246" w:rsidRPr="00E23EF2" w:rsidRDefault="007F1246" w:rsidP="007F1246">
      <w:pPr>
        <w:spacing w:before="120"/>
        <w:rPr>
          <w:spacing w:val="-6"/>
        </w:rPr>
      </w:pPr>
      <w:bookmarkStart w:id="0" w:name="_Toc450048579"/>
      <w:bookmarkStart w:id="1" w:name="_Toc327364292"/>
      <w:bookmarkStart w:id="2" w:name="_Toc319401740"/>
      <w:bookmarkStart w:id="3" w:name="_Toc35789250"/>
      <w:bookmarkStart w:id="4" w:name="_Toc35856947"/>
      <w:bookmarkStart w:id="5" w:name="_Toc35877581"/>
      <w:bookmarkStart w:id="6" w:name="_Toc35963524"/>
      <w:bookmarkStart w:id="7" w:name="_Toc39649320"/>
      <w:r w:rsidRPr="00E23EF2">
        <w:t>Resolution </w:t>
      </w:r>
      <w:r w:rsidRPr="00E23EF2">
        <w:rPr>
          <w:rStyle w:val="ECCHLbold"/>
        </w:rPr>
        <w:t>27 (Rev.WRC-19)</w:t>
      </w:r>
      <w:r w:rsidRPr="00E23EF2">
        <w:t>: Use of incorporation by reference in the Radio Regulations</w:t>
      </w:r>
      <w:bookmarkEnd w:id="0"/>
      <w:bookmarkEnd w:id="1"/>
      <w:bookmarkEnd w:id="2"/>
      <w:bookmarkEnd w:id="3"/>
      <w:bookmarkEnd w:id="4"/>
      <w:bookmarkEnd w:id="5"/>
      <w:bookmarkEnd w:id="6"/>
      <w:bookmarkEnd w:id="7"/>
    </w:p>
    <w:p w14:paraId="37B219F5" w14:textId="77777777" w:rsidR="009D4B7A" w:rsidRPr="00E23EF2" w:rsidRDefault="009D4B7A" w:rsidP="009D4B7A">
      <w:pPr>
        <w:jc w:val="both"/>
        <w:rPr>
          <w:lang w:val="en-NZ"/>
        </w:rPr>
      </w:pPr>
    </w:p>
    <w:p w14:paraId="469AA013" w14:textId="77777777" w:rsidR="009D4B7A" w:rsidRPr="00E23EF2" w:rsidRDefault="009D4B7A" w:rsidP="009D4B7A">
      <w:pPr>
        <w:spacing w:after="120"/>
        <w:jc w:val="both"/>
        <w:rPr>
          <w:b/>
          <w:lang w:val="en-NZ" w:eastAsia="ko-KR"/>
        </w:rPr>
      </w:pPr>
      <w:r w:rsidRPr="00E23EF2">
        <w:rPr>
          <w:b/>
          <w:lang w:val="en-NZ" w:eastAsia="ko-KR"/>
        </w:rPr>
        <w:t xml:space="preserve">1. </w:t>
      </w:r>
      <w:r w:rsidRPr="00E23EF2">
        <w:rPr>
          <w:b/>
          <w:lang w:val="en-NZ" w:eastAsia="ko-KR"/>
        </w:rPr>
        <w:tab/>
        <w:t>Background</w:t>
      </w:r>
    </w:p>
    <w:p w14:paraId="39D3CA84" w14:textId="77777777" w:rsidR="00234ACE" w:rsidRPr="00E23EF2" w:rsidRDefault="00234ACE" w:rsidP="00234ACE">
      <w:r w:rsidRPr="00E23EF2">
        <w:t>Agenda Item 2 is a WRCs standing agenda item to examine the revised ITU-R Recommendations</w:t>
      </w:r>
      <w:r w:rsidRPr="00E23EF2">
        <w:rPr>
          <w:i/>
          <w:iCs/>
        </w:rPr>
        <w:t xml:space="preserve"> </w:t>
      </w:r>
      <w:r w:rsidRPr="00E23EF2">
        <w:rPr>
          <w:iCs/>
        </w:rPr>
        <w:t>incorporated by reference in the Radio Regulations</w:t>
      </w:r>
      <w:r w:rsidRPr="00E23EF2">
        <w:t xml:space="preserve"> that are contained in Volume </w:t>
      </w:r>
      <w:r w:rsidRPr="00E23EF2">
        <w:rPr>
          <w:b/>
          <w:bCs/>
        </w:rPr>
        <w:t>4</w:t>
      </w:r>
      <w:r w:rsidRPr="00E23EF2">
        <w:t xml:space="preserve"> of the Radio Regulations (RR).</w:t>
      </w:r>
    </w:p>
    <w:p w14:paraId="0D0CED2B" w14:textId="77777777" w:rsidR="00234ACE" w:rsidRPr="00E23EF2" w:rsidRDefault="00234ACE" w:rsidP="00234ACE">
      <w:pPr>
        <w:spacing w:before="120"/>
      </w:pPr>
      <w:r w:rsidRPr="00E23EF2">
        <w:t xml:space="preserve">During a study cycle between two WRCs, some of the ITU-R Recommendations incorporated by reference in the RR contained in Volume </w:t>
      </w:r>
      <w:r w:rsidRPr="00E23EF2">
        <w:rPr>
          <w:rStyle w:val="ECCHLbold"/>
        </w:rPr>
        <w:t xml:space="preserve">4 </w:t>
      </w:r>
      <w:r w:rsidRPr="00E23EF2">
        <w:t xml:space="preserve">of the RR may be revised by the relevant ITU-R Study Groups. Resolution </w:t>
      </w:r>
      <w:r w:rsidRPr="00E23EF2">
        <w:rPr>
          <w:rStyle w:val="ECCHLbold"/>
        </w:rPr>
        <w:t>27 (Rev.WRC-19)</w:t>
      </w:r>
      <w:r w:rsidRPr="00E23EF2">
        <w:t xml:space="preserve"> resolves that WRC reviews such ITU-R Recommendations and determines, based on principles contained in Annex 1 of that Resolution, whether the corresponding reference to the Recommendation in the Radio Regulations should be updated to reflect the revised version of the ITU-R Recommendation, otherwise the earlier version of the Recommendation remains valid. </w:t>
      </w:r>
    </w:p>
    <w:p w14:paraId="43F33B79" w14:textId="77777777" w:rsidR="00234ACE" w:rsidRPr="00E23EF2" w:rsidRDefault="00234ACE" w:rsidP="00234ACE">
      <w:pPr>
        <w:spacing w:before="120" w:after="120"/>
      </w:pPr>
      <w:r w:rsidRPr="00E23EF2">
        <w:rPr>
          <w:rStyle w:val="ECCParagraph"/>
          <w:rFonts w:ascii="Times New Roman" w:hAnsi="Times New Roman" w:cs="Times New Roman"/>
          <w:sz w:val="24"/>
        </w:rPr>
        <w:t>Any actions necessary to clarify the status of ambiguous references to ITU-R Recommendations in the RR, generally fall under Agenda item 2.</w:t>
      </w:r>
    </w:p>
    <w:p w14:paraId="653D7B47" w14:textId="77777777" w:rsidR="00234ACE" w:rsidRPr="00E23EF2" w:rsidRDefault="00234ACE" w:rsidP="00234ACE">
      <w:pPr>
        <w:jc w:val="both"/>
      </w:pPr>
      <w:r w:rsidRPr="00E23EF2">
        <w:t xml:space="preserve">In response to Resolutions </w:t>
      </w:r>
      <w:r w:rsidRPr="00E23EF2">
        <w:rPr>
          <w:b/>
          <w:bCs/>
        </w:rPr>
        <w:t>27 (Rev.WRC-19)</w:t>
      </w:r>
      <w:r w:rsidRPr="00E23EF2">
        <w:t>, the CPM Report includes a list of those ITU-R Recommendations incorporated by reference in the RR which have been revised since WRC-19 (</w:t>
      </w:r>
      <w:r w:rsidRPr="00E23EF2">
        <w:rPr>
          <w:rFonts w:eastAsiaTheme="minorEastAsia"/>
          <w:lang w:eastAsia="ja-JP"/>
        </w:rPr>
        <w:t xml:space="preserve">in </w:t>
      </w:r>
      <w:r w:rsidRPr="00E23EF2">
        <w:t>Section 5/2/1), and a list of the RR provisions and footnotes containing references to ITU-R Recommendations or to WRC Resolutions that contain references to ITU-R Recommendations (in Section 5/2/2, Tables 5/2-1 and 5/2-2).</w:t>
      </w:r>
    </w:p>
    <w:p w14:paraId="04B4F1F7" w14:textId="2CB3530B" w:rsidR="00B404C2" w:rsidRPr="00E23EF2" w:rsidRDefault="00C970C2" w:rsidP="00C970C2">
      <w:pPr>
        <w:spacing w:beforeLines="50" w:before="120"/>
        <w:jc w:val="both"/>
        <w:rPr>
          <w:lang w:eastAsia="ja-JP"/>
        </w:rPr>
      </w:pPr>
      <w:r w:rsidRPr="00E23EF2">
        <w:rPr>
          <w:lang w:eastAsia="ja-JP"/>
        </w:rPr>
        <w:t>The following Table summarizes the status of IBR Recommendations that ha</w:t>
      </w:r>
      <w:r w:rsidR="00925E37" w:rsidRPr="00E23EF2">
        <w:rPr>
          <w:lang w:eastAsia="ja-JP"/>
        </w:rPr>
        <w:t>ve</w:t>
      </w:r>
      <w:r w:rsidRPr="00E23EF2">
        <w:rPr>
          <w:lang w:eastAsia="ja-JP"/>
        </w:rPr>
        <w:t xml:space="preserve"> been revised since WRC-19.</w:t>
      </w:r>
    </w:p>
    <w:p w14:paraId="35113D44" w14:textId="493C5FD8" w:rsidR="006D1D7B" w:rsidRPr="00E23EF2" w:rsidRDefault="006D1D7B" w:rsidP="006D1D7B">
      <w:pPr>
        <w:pStyle w:val="Caption"/>
        <w:jc w:val="center"/>
        <w:rPr>
          <w:color w:val="auto"/>
          <w:lang w:eastAsia="ja-JP"/>
        </w:rPr>
      </w:pPr>
      <w:r w:rsidRPr="00E23EF2">
        <w:rPr>
          <w:color w:val="auto"/>
        </w:rPr>
        <w:t xml:space="preserve">Table </w:t>
      </w:r>
      <w:r w:rsidRPr="00E23EF2">
        <w:rPr>
          <w:color w:val="auto"/>
        </w:rPr>
        <w:fldChar w:fldCharType="begin"/>
      </w:r>
      <w:r w:rsidRPr="00E23EF2">
        <w:rPr>
          <w:color w:val="auto"/>
        </w:rPr>
        <w:instrText xml:space="preserve"> SEQ Table \* ARABIC </w:instrText>
      </w:r>
      <w:r w:rsidRPr="00E23EF2">
        <w:rPr>
          <w:color w:val="auto"/>
        </w:rPr>
        <w:fldChar w:fldCharType="separate"/>
      </w:r>
      <w:r w:rsidRPr="00E23EF2">
        <w:rPr>
          <w:noProof/>
          <w:color w:val="auto"/>
        </w:rPr>
        <w:t>1</w:t>
      </w:r>
      <w:r w:rsidRPr="00E23EF2">
        <w:rPr>
          <w:color w:val="auto"/>
        </w:rPr>
        <w:fldChar w:fldCharType="end"/>
      </w:r>
      <w:r w:rsidRPr="00E23EF2">
        <w:rPr>
          <w:color w:val="auto"/>
        </w:rPr>
        <w:t xml:space="preserve"> IBR Recommendations revised since WRC-19</w:t>
      </w:r>
    </w:p>
    <w:tbl>
      <w:tblPr>
        <w:tblStyle w:val="TableGrid"/>
        <w:tblW w:w="0" w:type="auto"/>
        <w:jc w:val="center"/>
        <w:tblLook w:val="04A0" w:firstRow="1" w:lastRow="0" w:firstColumn="1" w:lastColumn="0" w:noHBand="0" w:noVBand="1"/>
      </w:tblPr>
      <w:tblGrid>
        <w:gridCol w:w="2547"/>
        <w:gridCol w:w="2415"/>
        <w:gridCol w:w="2977"/>
      </w:tblGrid>
      <w:tr w:rsidR="006D1D7B" w:rsidRPr="00E23EF2" w14:paraId="2A8AA392" w14:textId="77777777" w:rsidTr="00925E37">
        <w:trPr>
          <w:jc w:val="center"/>
        </w:trPr>
        <w:tc>
          <w:tcPr>
            <w:tcW w:w="2547" w:type="dxa"/>
          </w:tcPr>
          <w:p w14:paraId="7FD446E5" w14:textId="77777777" w:rsidR="006D1D7B" w:rsidRPr="00E23EF2" w:rsidRDefault="006D1D7B" w:rsidP="001F22CC">
            <w:pPr>
              <w:pStyle w:val="Tabletext"/>
              <w:rPr>
                <w:sz w:val="21"/>
                <w:szCs w:val="21"/>
              </w:rPr>
            </w:pPr>
            <w:r w:rsidRPr="00E23EF2">
              <w:rPr>
                <w:sz w:val="21"/>
                <w:szCs w:val="21"/>
              </w:rPr>
              <w:t>Current version in the RR Volume 4</w:t>
            </w:r>
          </w:p>
        </w:tc>
        <w:tc>
          <w:tcPr>
            <w:tcW w:w="2415" w:type="dxa"/>
          </w:tcPr>
          <w:p w14:paraId="0DB0BCD9" w14:textId="77777777" w:rsidR="006D1D7B" w:rsidRPr="00E23EF2" w:rsidRDefault="006D1D7B" w:rsidP="001F22CC">
            <w:pPr>
              <w:pStyle w:val="Tabletext"/>
              <w:rPr>
                <w:sz w:val="21"/>
                <w:szCs w:val="21"/>
              </w:rPr>
            </w:pPr>
            <w:r w:rsidRPr="00E23EF2">
              <w:rPr>
                <w:sz w:val="21"/>
                <w:szCs w:val="21"/>
              </w:rPr>
              <w:t>The most recent version</w:t>
            </w:r>
          </w:p>
        </w:tc>
        <w:tc>
          <w:tcPr>
            <w:tcW w:w="2977" w:type="dxa"/>
          </w:tcPr>
          <w:p w14:paraId="50499BD6" w14:textId="77777777" w:rsidR="006D1D7B" w:rsidRPr="00E23EF2" w:rsidRDefault="006D1D7B" w:rsidP="001F22CC">
            <w:pPr>
              <w:pStyle w:val="Tabletext"/>
              <w:rPr>
                <w:sz w:val="21"/>
                <w:szCs w:val="21"/>
              </w:rPr>
            </w:pPr>
            <w:r w:rsidRPr="00E23EF2">
              <w:rPr>
                <w:sz w:val="21"/>
                <w:szCs w:val="21"/>
              </w:rPr>
              <w:t xml:space="preserve">Relevant RR provisions and footnotes </w:t>
            </w:r>
          </w:p>
        </w:tc>
      </w:tr>
      <w:tr w:rsidR="006D1D7B" w:rsidRPr="00E23EF2" w14:paraId="7F8682D0" w14:textId="77777777" w:rsidTr="00925E37">
        <w:trPr>
          <w:jc w:val="center"/>
        </w:trPr>
        <w:tc>
          <w:tcPr>
            <w:tcW w:w="2547" w:type="dxa"/>
            <w:vAlign w:val="center"/>
          </w:tcPr>
          <w:p w14:paraId="23B1E8D0" w14:textId="77777777" w:rsidR="006D1D7B" w:rsidRPr="00E23EF2" w:rsidRDefault="006D1D7B" w:rsidP="001F22CC">
            <w:pPr>
              <w:pStyle w:val="Tabletext"/>
              <w:rPr>
                <w:b/>
                <w:bCs/>
                <w:lang w:eastAsia="ja-JP"/>
              </w:rPr>
            </w:pPr>
            <w:r w:rsidRPr="00E23EF2">
              <w:rPr>
                <w:rFonts w:hint="eastAsia"/>
                <w:b/>
                <w:bCs/>
                <w:lang w:eastAsia="ja-JP"/>
              </w:rPr>
              <w:t>M</w:t>
            </w:r>
            <w:r w:rsidRPr="00E23EF2">
              <w:rPr>
                <w:b/>
                <w:bCs/>
                <w:lang w:eastAsia="ja-JP"/>
              </w:rPr>
              <w:t>.585-8</w:t>
            </w:r>
          </w:p>
        </w:tc>
        <w:tc>
          <w:tcPr>
            <w:tcW w:w="2415" w:type="dxa"/>
            <w:vAlign w:val="center"/>
          </w:tcPr>
          <w:p w14:paraId="7B3D460E" w14:textId="77777777" w:rsidR="006D1D7B" w:rsidRPr="00E23EF2" w:rsidRDefault="006D1D7B" w:rsidP="001F22CC">
            <w:pPr>
              <w:pStyle w:val="Tabletext"/>
              <w:rPr>
                <w:b/>
                <w:bCs/>
              </w:rPr>
            </w:pPr>
            <w:r w:rsidRPr="00E23EF2">
              <w:rPr>
                <w:rFonts w:hint="eastAsia"/>
                <w:b/>
                <w:bCs/>
                <w:lang w:eastAsia="ja-JP"/>
              </w:rPr>
              <w:t>M</w:t>
            </w:r>
            <w:r w:rsidRPr="00E23EF2">
              <w:rPr>
                <w:b/>
                <w:bCs/>
                <w:lang w:eastAsia="ja-JP"/>
              </w:rPr>
              <w:t>.585-9</w:t>
            </w:r>
          </w:p>
        </w:tc>
        <w:tc>
          <w:tcPr>
            <w:tcW w:w="2977" w:type="dxa"/>
          </w:tcPr>
          <w:p w14:paraId="78B586C3" w14:textId="77777777" w:rsidR="006D1D7B" w:rsidRPr="00E23EF2" w:rsidRDefault="006D1D7B" w:rsidP="001F22CC">
            <w:pPr>
              <w:pStyle w:val="Tabletext"/>
              <w:rPr>
                <w:b/>
                <w:bCs/>
              </w:rPr>
            </w:pPr>
            <w:r w:rsidRPr="00E23EF2">
              <w:rPr>
                <w:b/>
                <w:bCs/>
              </w:rPr>
              <w:t>Nos. 19.99, 19.102, 19.111</w:t>
            </w:r>
          </w:p>
        </w:tc>
      </w:tr>
      <w:tr w:rsidR="006D1D7B" w:rsidRPr="00E23EF2" w14:paraId="062B0512" w14:textId="77777777" w:rsidTr="00925E37">
        <w:trPr>
          <w:jc w:val="center"/>
        </w:trPr>
        <w:tc>
          <w:tcPr>
            <w:tcW w:w="2547" w:type="dxa"/>
            <w:shd w:val="clear" w:color="auto" w:fill="auto"/>
          </w:tcPr>
          <w:p w14:paraId="66555E7F" w14:textId="5C767AA2" w:rsidR="006D1D7B" w:rsidRPr="00E23EF2" w:rsidRDefault="006D1D7B" w:rsidP="001F22CC">
            <w:pPr>
              <w:pStyle w:val="Tabletext"/>
              <w:rPr>
                <w:b/>
                <w:bCs/>
                <w:lang w:eastAsia="ja-JP"/>
              </w:rPr>
            </w:pPr>
            <w:r w:rsidRPr="00E23EF2">
              <w:rPr>
                <w:b/>
                <w:bCs/>
              </w:rPr>
              <w:t>M.633-4</w:t>
            </w:r>
            <w:r w:rsidR="00925E37" w:rsidRPr="00E23EF2">
              <w:rPr>
                <w:rFonts w:hint="eastAsia"/>
                <w:b/>
                <w:bCs/>
                <w:lang w:eastAsia="ja-JP"/>
              </w:rPr>
              <w:t>*</w:t>
            </w:r>
          </w:p>
        </w:tc>
        <w:tc>
          <w:tcPr>
            <w:tcW w:w="2415" w:type="dxa"/>
            <w:shd w:val="clear" w:color="auto" w:fill="auto"/>
          </w:tcPr>
          <w:p w14:paraId="74170E91" w14:textId="77777777" w:rsidR="006D1D7B" w:rsidRPr="00E23EF2" w:rsidRDefault="006D1D7B" w:rsidP="001F22CC">
            <w:pPr>
              <w:pStyle w:val="Tabletext"/>
              <w:rPr>
                <w:b/>
                <w:bCs/>
                <w:lang w:eastAsia="ja-JP"/>
              </w:rPr>
            </w:pPr>
            <w:r w:rsidRPr="00E23EF2">
              <w:rPr>
                <w:b/>
                <w:bCs/>
              </w:rPr>
              <w:t>M.633-</w:t>
            </w:r>
            <w:r w:rsidRPr="00E23EF2">
              <w:rPr>
                <w:rFonts w:hint="eastAsia"/>
                <w:b/>
                <w:bCs/>
                <w:lang w:eastAsia="ja-JP"/>
              </w:rPr>
              <w:t>5</w:t>
            </w:r>
          </w:p>
        </w:tc>
        <w:tc>
          <w:tcPr>
            <w:tcW w:w="2977" w:type="dxa"/>
            <w:shd w:val="clear" w:color="auto" w:fill="auto"/>
          </w:tcPr>
          <w:p w14:paraId="3396C81D" w14:textId="77777777" w:rsidR="006D1D7B" w:rsidRPr="00E23EF2" w:rsidRDefault="006D1D7B" w:rsidP="001F22CC">
            <w:pPr>
              <w:pStyle w:val="Tabletext"/>
              <w:rPr>
                <w:b/>
                <w:bCs/>
              </w:rPr>
            </w:pPr>
            <w:r w:rsidRPr="00E23EF2">
              <w:rPr>
                <w:b/>
                <w:bCs/>
              </w:rPr>
              <w:t>No. </w:t>
            </w:r>
            <w:r w:rsidRPr="00E23EF2">
              <w:rPr>
                <w:rStyle w:val="ECCHLbold"/>
              </w:rPr>
              <w:t>34.1</w:t>
            </w:r>
          </w:p>
        </w:tc>
      </w:tr>
    </w:tbl>
    <w:p w14:paraId="17BC9EEF" w14:textId="01D44F75" w:rsidR="00D348CC" w:rsidRDefault="00925E37" w:rsidP="00D348CC">
      <w:pPr>
        <w:pStyle w:val="enumlev1"/>
        <w:rPr>
          <w:lang w:eastAsia="ja-JP"/>
        </w:rPr>
      </w:pPr>
      <w:bookmarkStart w:id="8" w:name="_Hlk141116459"/>
      <w:r w:rsidRPr="00E23EF2">
        <w:rPr>
          <w:lang w:eastAsia="ja-JP"/>
        </w:rPr>
        <w:t>(*) Currently this is under the adoption/approval process.</w:t>
      </w:r>
      <w:r w:rsidRPr="00E23EF2">
        <w:rPr>
          <w:rFonts w:hint="eastAsia"/>
          <w:lang w:eastAsia="ja-JP"/>
        </w:rPr>
        <w:t xml:space="preserve"> </w:t>
      </w:r>
      <w:r w:rsidR="00D348CC">
        <w:rPr>
          <w:lang w:eastAsia="ja-JP"/>
        </w:rPr>
        <w:br w:type="page"/>
      </w:r>
    </w:p>
    <w:bookmarkEnd w:id="8"/>
    <w:p w14:paraId="4B47EE69" w14:textId="77777777" w:rsidR="009D4B7A" w:rsidRPr="00612A9E" w:rsidRDefault="009D4B7A" w:rsidP="009D4B7A">
      <w:pPr>
        <w:spacing w:after="120"/>
        <w:jc w:val="both"/>
        <w:rPr>
          <w:b/>
          <w:lang w:val="en-NZ" w:eastAsia="ko-KR"/>
        </w:rPr>
      </w:pPr>
      <w:r w:rsidRPr="00612A9E">
        <w:rPr>
          <w:b/>
          <w:lang w:val="en-NZ" w:eastAsia="ko-KR"/>
        </w:rPr>
        <w:lastRenderedPageBreak/>
        <w:t xml:space="preserve">2. </w:t>
      </w:r>
      <w:r w:rsidRPr="00612A9E">
        <w:rPr>
          <w:b/>
          <w:lang w:val="en-NZ" w:eastAsia="ko-KR"/>
        </w:rPr>
        <w:tab/>
        <w:t>Documents</w:t>
      </w:r>
    </w:p>
    <w:p w14:paraId="5DCD73D1" w14:textId="4380BC1C" w:rsidR="009D4B7A" w:rsidRPr="00612A9E" w:rsidRDefault="009D4B7A" w:rsidP="00FC74DB">
      <w:pPr>
        <w:jc w:val="both"/>
        <w:rPr>
          <w:lang w:val="en-NZ"/>
        </w:rPr>
      </w:pPr>
      <w:r w:rsidRPr="00612A9E">
        <w:rPr>
          <w:lang w:val="en-NZ"/>
        </w:rPr>
        <w:t>Input Documents</w:t>
      </w:r>
      <w:r w:rsidR="00FC74DB" w:rsidRPr="00612A9E">
        <w:rPr>
          <w:lang w:val="en-NZ"/>
        </w:rPr>
        <w:t>:</w:t>
      </w:r>
      <w:r w:rsidRPr="00612A9E">
        <w:rPr>
          <w:lang w:val="en-NZ"/>
        </w:rPr>
        <w:t xml:space="preserve"> </w:t>
      </w:r>
      <w:r w:rsidR="00FC74DB" w:rsidRPr="00612A9E">
        <w:rPr>
          <w:lang w:val="en-NZ"/>
        </w:rPr>
        <w:t>APG23-5/OUT-</w:t>
      </w:r>
      <w:r w:rsidR="00925E37" w:rsidRPr="00612A9E">
        <w:rPr>
          <w:lang w:val="en-NZ"/>
        </w:rPr>
        <w:t>34</w:t>
      </w:r>
      <w:r w:rsidR="00FC74DB" w:rsidRPr="00612A9E">
        <w:rPr>
          <w:lang w:val="en-NZ"/>
        </w:rPr>
        <w:t xml:space="preserve">, </w:t>
      </w:r>
      <w:r w:rsidRPr="00612A9E">
        <w:rPr>
          <w:lang w:val="en-NZ"/>
        </w:rPr>
        <w:t>APG23-</w:t>
      </w:r>
      <w:r w:rsidR="00F17BE0" w:rsidRPr="00612A9E">
        <w:rPr>
          <w:lang w:val="en-NZ"/>
        </w:rPr>
        <w:t>6</w:t>
      </w:r>
      <w:r w:rsidRPr="00612A9E">
        <w:rPr>
          <w:lang w:val="en-NZ"/>
        </w:rPr>
        <w:t>/INP-</w:t>
      </w:r>
      <w:r w:rsidR="00925E37" w:rsidRPr="00612A9E">
        <w:rPr>
          <w:lang w:val="en-NZ"/>
        </w:rPr>
        <w:t>21(IND), 41(J), 62(THA), 69(IRN), 84(AUS), 107</w:t>
      </w:r>
      <w:r w:rsidR="00270086">
        <w:rPr>
          <w:lang w:val="en-NZ"/>
        </w:rPr>
        <w:t>R1</w:t>
      </w:r>
      <w:r w:rsidR="00925E37" w:rsidRPr="00612A9E">
        <w:rPr>
          <w:lang w:val="en-NZ"/>
        </w:rPr>
        <w:t>(CHN)</w:t>
      </w:r>
    </w:p>
    <w:p w14:paraId="02EDC2DB" w14:textId="77777777" w:rsidR="00FC74DB" w:rsidRPr="00612A9E" w:rsidRDefault="00FC74DB" w:rsidP="00FC74DB">
      <w:pPr>
        <w:jc w:val="both"/>
        <w:rPr>
          <w:lang w:val="en-NZ"/>
        </w:rPr>
      </w:pPr>
    </w:p>
    <w:p w14:paraId="2DE10EA4" w14:textId="6DCE4189" w:rsidR="009D4B7A" w:rsidRPr="00CF3A51" w:rsidRDefault="009D4B7A" w:rsidP="00FC74DB">
      <w:pPr>
        <w:jc w:val="both"/>
        <w:rPr>
          <w:lang w:val="en-GB"/>
        </w:rPr>
      </w:pPr>
      <w:r w:rsidRPr="00CF3A51">
        <w:rPr>
          <w:lang w:val="en-GB"/>
        </w:rPr>
        <w:t xml:space="preserve">Information </w:t>
      </w:r>
      <w:r w:rsidR="00CF3A51" w:rsidRPr="00CF3A51">
        <w:rPr>
          <w:lang w:val="en-GB"/>
        </w:rPr>
        <w:t>Documents:</w:t>
      </w:r>
      <w:r w:rsidRPr="00CF3A51">
        <w:rPr>
          <w:lang w:val="en-GB"/>
        </w:rPr>
        <w:t xml:space="preserve"> APG23-</w:t>
      </w:r>
      <w:r w:rsidR="00F2678E" w:rsidRPr="00CF3A51">
        <w:rPr>
          <w:lang w:val="en-GB"/>
        </w:rPr>
        <w:t>6</w:t>
      </w:r>
      <w:r w:rsidRPr="00CF3A51">
        <w:rPr>
          <w:lang w:val="en-GB"/>
        </w:rPr>
        <w:t>/INF-</w:t>
      </w:r>
      <w:r w:rsidR="00925E37" w:rsidRPr="00CF3A51">
        <w:rPr>
          <w:lang w:val="en-GB"/>
        </w:rPr>
        <w:t xml:space="preserve">03(DG Chair), </w:t>
      </w:r>
      <w:r w:rsidR="00217D48">
        <w:rPr>
          <w:lang w:val="en-GB"/>
        </w:rPr>
        <w:t xml:space="preserve">17(ITU), </w:t>
      </w:r>
      <w:r w:rsidR="00925E37" w:rsidRPr="00CF3A51">
        <w:rPr>
          <w:lang w:val="en-GB"/>
        </w:rPr>
        <w:t>45(RCC), 46(CEPT)</w:t>
      </w:r>
      <w:r w:rsidRPr="00CF3A51">
        <w:rPr>
          <w:lang w:val="en-GB"/>
        </w:rPr>
        <w:t xml:space="preserve"> </w:t>
      </w:r>
    </w:p>
    <w:p w14:paraId="2DFB6AC4" w14:textId="77777777" w:rsidR="009D4B7A" w:rsidRPr="00CF3A51" w:rsidRDefault="009D4B7A" w:rsidP="009D4B7A">
      <w:pPr>
        <w:jc w:val="both"/>
        <w:rPr>
          <w:b/>
          <w:lang w:val="en-GB"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0425F4" w:rsidRDefault="009D4B7A" w:rsidP="009D4B7A">
      <w:pPr>
        <w:spacing w:after="120"/>
        <w:jc w:val="both"/>
        <w:rPr>
          <w:b/>
          <w:lang w:val="en-NZ" w:eastAsia="ko-KR"/>
        </w:rPr>
      </w:pPr>
      <w:r w:rsidRPr="000425F4">
        <w:rPr>
          <w:b/>
          <w:lang w:val="en-NZ" w:eastAsia="ko-KR"/>
        </w:rPr>
        <w:t>3.1</w:t>
      </w:r>
      <w:r w:rsidRPr="000425F4">
        <w:rPr>
          <w:b/>
          <w:lang w:val="en-NZ" w:eastAsia="ko-KR"/>
        </w:rPr>
        <w:tab/>
        <w:t>S</w:t>
      </w:r>
      <w:r w:rsidRPr="000425F4">
        <w:rPr>
          <w:rFonts w:hint="eastAsia"/>
          <w:b/>
          <w:lang w:val="en-NZ" w:eastAsia="ko-KR"/>
        </w:rPr>
        <w:t xml:space="preserve">ummary </w:t>
      </w:r>
      <w:r w:rsidRPr="000425F4">
        <w:rPr>
          <w:b/>
          <w:lang w:val="en-NZ" w:eastAsia="ko-KR"/>
        </w:rPr>
        <w:t>of APT Members’ views</w:t>
      </w:r>
    </w:p>
    <w:p w14:paraId="30530A22" w14:textId="3F1F1CB3" w:rsidR="00925E37" w:rsidRPr="000425F4" w:rsidRDefault="00925E37" w:rsidP="00925E37">
      <w:pPr>
        <w:jc w:val="both"/>
        <w:rPr>
          <w:b/>
          <w:lang w:eastAsia="ko-KR"/>
        </w:rPr>
      </w:pPr>
      <w:r w:rsidRPr="000425F4">
        <w:rPr>
          <w:b/>
          <w:lang w:eastAsia="ko-KR"/>
        </w:rPr>
        <w:t xml:space="preserve">3.1.1 </w:t>
      </w:r>
      <w:r w:rsidRPr="000425F4">
        <w:rPr>
          <w:b/>
          <w:lang w:eastAsia="ko-KR"/>
        </w:rPr>
        <w:tab/>
        <w:t xml:space="preserve">India </w:t>
      </w:r>
      <w:r w:rsidRPr="000425F4">
        <w:t>-</w:t>
      </w:r>
      <w:r w:rsidRPr="000425F4">
        <w:rPr>
          <w:b/>
          <w:lang w:eastAsia="ko-KR"/>
        </w:rPr>
        <w:t xml:space="preserve"> Document APG23-6/INP-21</w:t>
      </w:r>
    </w:p>
    <w:p w14:paraId="5CF0F385" w14:textId="3892757C" w:rsidR="009F4C07" w:rsidRPr="000425F4" w:rsidRDefault="009F4C07" w:rsidP="009F4C07">
      <w:pPr>
        <w:spacing w:line="276" w:lineRule="auto"/>
        <w:jc w:val="both"/>
        <w:rPr>
          <w:lang w:val="en-IN"/>
        </w:rPr>
      </w:pPr>
      <w:r w:rsidRPr="000425F4">
        <w:rPr>
          <w:lang w:val="en-IN"/>
        </w:rPr>
        <w:t xml:space="preserve">India supports the examination and review of ITU-R Recommendations incorporated by reference in the Radio Regulations and, where appropriate, updating of these references in accordance with Resolution </w:t>
      </w:r>
      <w:r w:rsidRPr="000425F4">
        <w:rPr>
          <w:b/>
          <w:bCs/>
          <w:lang w:val="en-IN"/>
        </w:rPr>
        <w:t>27 (Rev. WRC-19)</w:t>
      </w:r>
      <w:r w:rsidRPr="000425F4">
        <w:rPr>
          <w:lang w:val="en-IN"/>
        </w:rPr>
        <w:t>.</w:t>
      </w:r>
      <w:r w:rsidR="000425F4" w:rsidRPr="000425F4">
        <w:rPr>
          <w:lang w:val="en-IN"/>
        </w:rPr>
        <w:t xml:space="preserve"> </w:t>
      </w:r>
      <w:r w:rsidRPr="000425F4">
        <w:rPr>
          <w:lang w:val="en-IN"/>
        </w:rPr>
        <w:t xml:space="preserve">India also supports the List of RR provisions and footnotes containing references to ITU-R </w:t>
      </w:r>
      <w:proofErr w:type="gramStart"/>
      <w:r w:rsidRPr="000425F4">
        <w:rPr>
          <w:lang w:val="en-IN"/>
        </w:rPr>
        <w:t>Recommendations  of</w:t>
      </w:r>
      <w:proofErr w:type="gramEnd"/>
      <w:r w:rsidRPr="000425F4">
        <w:rPr>
          <w:lang w:val="en-IN"/>
        </w:rPr>
        <w:t xml:space="preserve">  CPM23-2 Report, table no.  5/2-1 and 5/2-2 for further discussion and consideration in WRC-2023. </w:t>
      </w:r>
    </w:p>
    <w:p w14:paraId="71256ADC" w14:textId="77777777" w:rsidR="009F4C07" w:rsidRPr="000425F4" w:rsidRDefault="009F4C07" w:rsidP="00925E37">
      <w:pPr>
        <w:jc w:val="both"/>
        <w:rPr>
          <w:b/>
          <w:lang w:eastAsia="ko-KR"/>
        </w:rPr>
      </w:pPr>
    </w:p>
    <w:p w14:paraId="46BFD3C0" w14:textId="5BF64ED2" w:rsidR="00925E37" w:rsidRPr="000425F4" w:rsidRDefault="00925E37" w:rsidP="00925E37">
      <w:pPr>
        <w:jc w:val="both"/>
        <w:rPr>
          <w:b/>
          <w:lang w:eastAsia="ko-KR"/>
        </w:rPr>
      </w:pPr>
      <w:r w:rsidRPr="000425F4">
        <w:rPr>
          <w:b/>
          <w:lang w:eastAsia="ko-KR"/>
        </w:rPr>
        <w:t xml:space="preserve">3.1.2 </w:t>
      </w:r>
      <w:r w:rsidRPr="000425F4">
        <w:rPr>
          <w:b/>
          <w:lang w:eastAsia="ko-KR"/>
        </w:rPr>
        <w:tab/>
        <w:t xml:space="preserve">Japan </w:t>
      </w:r>
      <w:r w:rsidRPr="000425F4">
        <w:t>-</w:t>
      </w:r>
      <w:r w:rsidRPr="000425F4">
        <w:rPr>
          <w:b/>
          <w:lang w:eastAsia="ko-KR"/>
        </w:rPr>
        <w:t xml:space="preserve"> Document APG23-6/INP-41</w:t>
      </w:r>
    </w:p>
    <w:p w14:paraId="0A83A66F" w14:textId="77777777" w:rsidR="00925E37" w:rsidRPr="000425F4" w:rsidRDefault="00925E37" w:rsidP="00925E37">
      <w:pPr>
        <w:rPr>
          <w:lang w:val="en-GB" w:eastAsia="ja-JP"/>
        </w:rPr>
      </w:pPr>
      <w:r w:rsidRPr="000425F4">
        <w:rPr>
          <w:lang w:val="en-GB" w:eastAsia="ja-JP"/>
        </w:rPr>
        <w:t>Japan identified three issues under this agenda item:</w:t>
      </w:r>
    </w:p>
    <w:p w14:paraId="7794AA17" w14:textId="77777777" w:rsidR="00925E37" w:rsidRPr="000425F4" w:rsidRDefault="00925E37" w:rsidP="00925E37">
      <w:pPr>
        <w:spacing w:after="120"/>
        <w:ind w:left="720" w:hanging="720"/>
        <w:rPr>
          <w:lang w:val="en-GB" w:eastAsia="ja-JP"/>
        </w:rPr>
      </w:pPr>
      <w:r w:rsidRPr="000425F4">
        <w:rPr>
          <w:rFonts w:hint="eastAsia"/>
          <w:lang w:val="en-GB" w:eastAsia="ja-JP"/>
        </w:rPr>
        <w:t xml:space="preserve">Issue 1: </w:t>
      </w:r>
      <w:r w:rsidRPr="000425F4">
        <w:rPr>
          <w:lang w:val="en-GB" w:eastAsia="ja-JP"/>
        </w:rPr>
        <w:t>Consideration of the revised IBR Recommendations and consequential changes to the relevant references in the Radio Regulations;</w:t>
      </w:r>
    </w:p>
    <w:p w14:paraId="1D4E3649" w14:textId="77777777" w:rsidR="00925E37" w:rsidRPr="000425F4" w:rsidRDefault="00925E37" w:rsidP="00925E37">
      <w:pPr>
        <w:spacing w:after="120"/>
        <w:ind w:left="720" w:hanging="720"/>
        <w:rPr>
          <w:lang w:eastAsia="ja-JP"/>
        </w:rPr>
      </w:pPr>
      <w:r w:rsidRPr="000425F4">
        <w:rPr>
          <w:lang w:eastAsia="ja-JP"/>
        </w:rPr>
        <w:t xml:space="preserve">Issue 2: Removal of reference to Resolution </w:t>
      </w:r>
      <w:r w:rsidRPr="000425F4">
        <w:rPr>
          <w:b/>
          <w:bCs/>
          <w:lang w:eastAsia="ja-JP"/>
        </w:rPr>
        <w:t>27 (Rev.WRC-19)</w:t>
      </w:r>
      <w:r w:rsidRPr="000425F4">
        <w:rPr>
          <w:lang w:eastAsia="ja-JP"/>
        </w:rPr>
        <w:t xml:space="preserve"> in some provisions; </w:t>
      </w:r>
    </w:p>
    <w:p w14:paraId="5C8540CC" w14:textId="77777777" w:rsidR="00925E37" w:rsidRPr="000425F4" w:rsidRDefault="00925E37" w:rsidP="00925E37">
      <w:pPr>
        <w:spacing w:after="120"/>
        <w:ind w:left="720" w:hanging="720"/>
        <w:rPr>
          <w:lang w:eastAsia="ja-JP"/>
        </w:rPr>
      </w:pPr>
      <w:r w:rsidRPr="000425F4">
        <w:rPr>
          <w:lang w:eastAsia="ja-JP"/>
        </w:rPr>
        <w:t>Issue 3: Standardizing how to reference ITU-R Recommendations in non-mandatory nature.</w:t>
      </w:r>
    </w:p>
    <w:p w14:paraId="7F13A760" w14:textId="77777777" w:rsidR="00925E37" w:rsidRPr="00441526" w:rsidRDefault="00925E37" w:rsidP="00925E37">
      <w:pPr>
        <w:jc w:val="both"/>
        <w:rPr>
          <w:lang w:val="en-NZ"/>
        </w:rPr>
      </w:pPr>
      <w:r w:rsidRPr="000425F4">
        <w:rPr>
          <w:lang w:eastAsia="ja-JP"/>
        </w:rPr>
        <w:t>Draft preliminary APT common proposal for Agenda Item 2 is provided.</w:t>
      </w:r>
    </w:p>
    <w:p w14:paraId="2FD4CC51" w14:textId="77777777" w:rsidR="00925E37" w:rsidRPr="00925E37" w:rsidRDefault="00925E37" w:rsidP="00925E37">
      <w:pPr>
        <w:jc w:val="both"/>
        <w:rPr>
          <w:b/>
          <w:lang w:val="en-NZ" w:eastAsia="ko-KR"/>
        </w:rPr>
      </w:pPr>
    </w:p>
    <w:p w14:paraId="482B59C5" w14:textId="4DC95AB8" w:rsidR="00925E37" w:rsidRPr="009F4C07" w:rsidRDefault="00925E37" w:rsidP="00925E37">
      <w:pPr>
        <w:jc w:val="both"/>
        <w:rPr>
          <w:b/>
          <w:lang w:eastAsia="ko-KR"/>
        </w:rPr>
      </w:pPr>
      <w:r w:rsidRPr="009F4C07">
        <w:rPr>
          <w:b/>
          <w:lang w:eastAsia="ko-KR"/>
        </w:rPr>
        <w:t xml:space="preserve">3.1.3 </w:t>
      </w:r>
      <w:r w:rsidRPr="009F4C07">
        <w:rPr>
          <w:b/>
          <w:lang w:eastAsia="ko-KR"/>
        </w:rPr>
        <w:tab/>
        <w:t xml:space="preserve">Thailand </w:t>
      </w:r>
      <w:r w:rsidRPr="009F4C07">
        <w:t>-</w:t>
      </w:r>
      <w:r w:rsidRPr="009F4C07">
        <w:rPr>
          <w:b/>
          <w:lang w:eastAsia="ko-KR"/>
        </w:rPr>
        <w:t xml:space="preserve"> Document APG23-6/INP-62</w:t>
      </w:r>
    </w:p>
    <w:p w14:paraId="6BD711D9" w14:textId="77777777" w:rsidR="009F4C07" w:rsidRPr="007B23B0" w:rsidRDefault="009F4C07" w:rsidP="009F4C07">
      <w:pPr>
        <w:spacing w:after="120"/>
        <w:jc w:val="both"/>
        <w:rPr>
          <w:rFonts w:eastAsia="MS Mincho"/>
          <w:lang w:eastAsia="ja-JP"/>
        </w:rPr>
      </w:pPr>
      <w:r w:rsidRPr="007B23B0">
        <w:rPr>
          <w:rFonts w:eastAsia="MS Mincho"/>
          <w:lang w:eastAsia="ja-JP"/>
        </w:rPr>
        <w:t xml:space="preserve">Thailand supports the examination and review of ITU-R Recommendations incorporated by reference (IBR) in the Radio Regulations and, where appropriate, the updating of these references in accordance with Resolution </w:t>
      </w:r>
      <w:r w:rsidRPr="007B23B0">
        <w:rPr>
          <w:rFonts w:eastAsia="MS Mincho"/>
          <w:b/>
          <w:bCs/>
          <w:lang w:eastAsia="ja-JP"/>
        </w:rPr>
        <w:t>27 (Rev.WRC-19)</w:t>
      </w:r>
      <w:r w:rsidRPr="007B23B0">
        <w:rPr>
          <w:rFonts w:eastAsia="MS Mincho"/>
          <w:lang w:eastAsia="ja-JP"/>
        </w:rPr>
        <w:t>.</w:t>
      </w:r>
    </w:p>
    <w:p w14:paraId="34D492DD" w14:textId="77777777" w:rsidR="009F4C07" w:rsidRPr="007B23B0" w:rsidRDefault="009F4C07" w:rsidP="009F4C07">
      <w:pPr>
        <w:spacing w:after="120"/>
        <w:jc w:val="both"/>
        <w:rPr>
          <w:rFonts w:eastAsia="MS Mincho"/>
          <w:lang w:eastAsia="ja-JP"/>
        </w:rPr>
      </w:pPr>
      <w:r w:rsidRPr="007B23B0">
        <w:rPr>
          <w:rFonts w:eastAsia="MS Mincho"/>
          <w:lang w:eastAsia="ja-JP"/>
        </w:rPr>
        <w:t xml:space="preserve">Thailand is of the views that: </w:t>
      </w:r>
    </w:p>
    <w:p w14:paraId="5A130AD1" w14:textId="77777777" w:rsidR="009F4C07" w:rsidRPr="007B23B0" w:rsidRDefault="009F4C07" w:rsidP="009F4C07">
      <w:pPr>
        <w:spacing w:after="120"/>
        <w:jc w:val="both"/>
        <w:rPr>
          <w:rFonts w:eastAsia="MS Mincho"/>
          <w:lang w:eastAsia="ja-JP"/>
        </w:rPr>
      </w:pPr>
      <w:r w:rsidRPr="007B23B0">
        <w:rPr>
          <w:rFonts w:eastAsia="MS Mincho"/>
          <w:lang w:eastAsia="ja-JP"/>
        </w:rPr>
        <w:t>1. All references to Recommendation ITU-R M.585-8 should be updated to the most recent version (Recommendation ITU-R M.585-9).</w:t>
      </w:r>
    </w:p>
    <w:p w14:paraId="2792C84C" w14:textId="77777777" w:rsidR="009F4C07" w:rsidRPr="007B23B0" w:rsidRDefault="009F4C07" w:rsidP="009F4C07">
      <w:pPr>
        <w:spacing w:after="120"/>
        <w:jc w:val="both"/>
        <w:rPr>
          <w:rFonts w:eastAsia="MS Mincho"/>
          <w:lang w:eastAsia="ja-JP"/>
        </w:rPr>
      </w:pPr>
      <w:r w:rsidRPr="007B23B0">
        <w:rPr>
          <w:rFonts w:eastAsia="MS Mincho"/>
          <w:lang w:eastAsia="ja-JP"/>
        </w:rPr>
        <w:t>2. Some referenced ITU-R Recommendations may be revised before WRC-23, therefore the relevant references in the RR should be updated accordingly.</w:t>
      </w:r>
    </w:p>
    <w:p w14:paraId="451AD351" w14:textId="77777777" w:rsidR="009F4C07" w:rsidRPr="00444E11" w:rsidRDefault="009F4C07" w:rsidP="009F4C07">
      <w:pPr>
        <w:spacing w:after="120"/>
        <w:jc w:val="both"/>
        <w:rPr>
          <w:rFonts w:eastAsia="MS Mincho"/>
          <w:lang w:eastAsia="ja-JP"/>
        </w:rPr>
      </w:pPr>
      <w:r w:rsidRPr="007B23B0">
        <w:rPr>
          <w:rFonts w:eastAsia="MS Mincho"/>
          <w:lang w:eastAsia="ja-JP"/>
        </w:rPr>
        <w:t>3. Some referenced ITU-R Recommendations are being considered under WRC-23 agenda items or topics, therefore the relevant references in the RR should be updated based on the results of the Conference.</w:t>
      </w:r>
    </w:p>
    <w:p w14:paraId="640FEAFD" w14:textId="77777777" w:rsidR="009F4C07" w:rsidRPr="009F4C07" w:rsidRDefault="009F4C07" w:rsidP="00925E37">
      <w:pPr>
        <w:jc w:val="both"/>
        <w:rPr>
          <w:b/>
          <w:lang w:eastAsia="ko-KR"/>
        </w:rPr>
      </w:pPr>
    </w:p>
    <w:p w14:paraId="421FBF6C" w14:textId="58EC56CE" w:rsidR="00925E37" w:rsidRPr="002F4AE0" w:rsidRDefault="00925E37" w:rsidP="00925E37">
      <w:pPr>
        <w:jc w:val="both"/>
        <w:rPr>
          <w:b/>
          <w:lang w:eastAsia="ko-KR"/>
        </w:rPr>
      </w:pPr>
      <w:r w:rsidRPr="002F4AE0">
        <w:rPr>
          <w:b/>
          <w:lang w:eastAsia="ko-KR"/>
        </w:rPr>
        <w:t xml:space="preserve">3.1.4 </w:t>
      </w:r>
      <w:r w:rsidRPr="002F4AE0">
        <w:rPr>
          <w:b/>
          <w:lang w:eastAsia="ko-KR"/>
        </w:rPr>
        <w:tab/>
        <w:t xml:space="preserve">Iran (Islamic Republic of) </w:t>
      </w:r>
      <w:r w:rsidRPr="002F4AE0">
        <w:t>-</w:t>
      </w:r>
      <w:r w:rsidRPr="002F4AE0">
        <w:rPr>
          <w:b/>
          <w:lang w:eastAsia="ko-KR"/>
        </w:rPr>
        <w:t xml:space="preserve"> Document APG23-6/INP-69</w:t>
      </w:r>
    </w:p>
    <w:p w14:paraId="36552AEE" w14:textId="77777777" w:rsidR="00925E37" w:rsidRPr="002F4AE0" w:rsidRDefault="00925E37" w:rsidP="00925E37">
      <w:pPr>
        <w:jc w:val="both"/>
      </w:pPr>
      <w:r w:rsidRPr="002F4AE0">
        <w:t xml:space="preserve">The Administration of Iran (Islamic Republic of) identified </w:t>
      </w:r>
      <w:r w:rsidRPr="002F4AE0">
        <w:rPr>
          <w:lang w:val="en-GB" w:eastAsia="ja-JP"/>
        </w:rPr>
        <w:t>three issues under this agenda item:</w:t>
      </w:r>
    </w:p>
    <w:p w14:paraId="7C5CB297" w14:textId="77777777" w:rsidR="00925E37" w:rsidRPr="002F4AE0" w:rsidRDefault="00925E37" w:rsidP="00925E37">
      <w:pPr>
        <w:spacing w:after="120"/>
        <w:ind w:left="720" w:hanging="720"/>
        <w:rPr>
          <w:lang w:val="en-GB" w:eastAsia="ja-JP"/>
        </w:rPr>
      </w:pPr>
      <w:r w:rsidRPr="002F4AE0">
        <w:rPr>
          <w:rFonts w:hint="eastAsia"/>
          <w:lang w:val="en-GB" w:eastAsia="ja-JP"/>
        </w:rPr>
        <w:t xml:space="preserve">Issue 1: </w:t>
      </w:r>
      <w:r w:rsidRPr="002F4AE0">
        <w:rPr>
          <w:lang w:val="en-GB" w:eastAsia="ja-JP"/>
        </w:rPr>
        <w:t>Consideration of the revised IBR Recommendations and consequential changes to the relevant references in the Radio Regulations;</w:t>
      </w:r>
    </w:p>
    <w:p w14:paraId="0B3C4BA9" w14:textId="77777777" w:rsidR="00925E37" w:rsidRPr="002F4AE0" w:rsidRDefault="00925E37" w:rsidP="00925E37">
      <w:pPr>
        <w:spacing w:after="120"/>
        <w:ind w:left="720" w:hanging="720"/>
        <w:rPr>
          <w:lang w:eastAsia="ja-JP"/>
        </w:rPr>
      </w:pPr>
      <w:r w:rsidRPr="002F4AE0">
        <w:rPr>
          <w:lang w:eastAsia="ja-JP"/>
        </w:rPr>
        <w:t xml:space="preserve">Issue 2: Removal of reference to Resolution </w:t>
      </w:r>
      <w:r w:rsidRPr="002F4AE0">
        <w:rPr>
          <w:b/>
          <w:bCs/>
          <w:lang w:eastAsia="ja-JP"/>
        </w:rPr>
        <w:t>27 (Rev.WRC-19)</w:t>
      </w:r>
      <w:r w:rsidRPr="002F4AE0">
        <w:rPr>
          <w:lang w:eastAsia="ja-JP"/>
        </w:rPr>
        <w:t xml:space="preserve"> in some provisions; </w:t>
      </w:r>
    </w:p>
    <w:p w14:paraId="232F4F2A" w14:textId="77777777" w:rsidR="00925E37" w:rsidRPr="002F4AE0" w:rsidRDefault="00925E37" w:rsidP="00925E37">
      <w:pPr>
        <w:spacing w:after="120"/>
        <w:ind w:left="720" w:hanging="720"/>
        <w:rPr>
          <w:lang w:eastAsia="ja-JP"/>
        </w:rPr>
      </w:pPr>
      <w:r w:rsidRPr="002F4AE0">
        <w:rPr>
          <w:lang w:eastAsia="ja-JP"/>
        </w:rPr>
        <w:t>Issue 3: Standardizing how to reference ITU-R Recommendations in non-mandatory nature.</w:t>
      </w:r>
    </w:p>
    <w:p w14:paraId="68FCBDA5" w14:textId="77777777" w:rsidR="00925E37" w:rsidRDefault="00925E37" w:rsidP="00925E37">
      <w:pPr>
        <w:jc w:val="both"/>
        <w:rPr>
          <w:lang w:val="en-NZ"/>
        </w:rPr>
      </w:pPr>
      <w:r w:rsidRPr="002F4AE0">
        <w:rPr>
          <w:lang w:eastAsia="ja-JP"/>
        </w:rPr>
        <w:t>Draft preliminary APT common proposal for Agenda Item 2 is provided.</w:t>
      </w:r>
    </w:p>
    <w:p w14:paraId="22C753F0" w14:textId="77777777" w:rsidR="00925E37" w:rsidRPr="00925E37" w:rsidRDefault="00925E37" w:rsidP="00925E37">
      <w:pPr>
        <w:jc w:val="both"/>
        <w:rPr>
          <w:b/>
          <w:lang w:val="en-NZ" w:eastAsia="ko-KR"/>
        </w:rPr>
      </w:pPr>
    </w:p>
    <w:p w14:paraId="56FF5871" w14:textId="53EBEEBC" w:rsidR="00925E37" w:rsidRPr="001E374C" w:rsidRDefault="00925E37" w:rsidP="00925E37">
      <w:pPr>
        <w:jc w:val="both"/>
        <w:rPr>
          <w:b/>
          <w:lang w:eastAsia="ko-KR"/>
        </w:rPr>
      </w:pPr>
      <w:r w:rsidRPr="001E374C">
        <w:rPr>
          <w:b/>
          <w:lang w:eastAsia="ko-KR"/>
        </w:rPr>
        <w:t xml:space="preserve">3.1.5 </w:t>
      </w:r>
      <w:r w:rsidRPr="001E374C">
        <w:rPr>
          <w:b/>
          <w:lang w:eastAsia="ko-KR"/>
        </w:rPr>
        <w:tab/>
        <w:t xml:space="preserve">Australia </w:t>
      </w:r>
      <w:r w:rsidRPr="001E374C">
        <w:t>-</w:t>
      </w:r>
      <w:r w:rsidRPr="001E374C">
        <w:rPr>
          <w:b/>
          <w:lang w:eastAsia="ko-KR"/>
        </w:rPr>
        <w:t xml:space="preserve"> Document APG23-6/INP-84</w:t>
      </w:r>
    </w:p>
    <w:p w14:paraId="21490D4A" w14:textId="1EE6CAA3" w:rsidR="009F4C07" w:rsidRPr="001E374C" w:rsidRDefault="009F4C07" w:rsidP="009F4C07">
      <w:r w:rsidRPr="001E374C">
        <w:rPr>
          <w:rFonts w:eastAsia="Calibri"/>
          <w:color w:val="000000"/>
          <w:kern w:val="12"/>
        </w:rPr>
        <w:lastRenderedPageBreak/>
        <w:t xml:space="preserve">Australia supports the examination and review of ITU-R Recommendations incorporated by reference into the Radio Regulations in accordance with </w:t>
      </w:r>
      <w:r w:rsidRPr="001E374C">
        <w:rPr>
          <w:rFonts w:eastAsia="Calibri"/>
          <w:b/>
          <w:color w:val="000000"/>
          <w:kern w:val="12"/>
        </w:rPr>
        <w:t xml:space="preserve">Resolution 27 (Rev. WRC-19), </w:t>
      </w:r>
      <w:r w:rsidRPr="001E374C">
        <w:rPr>
          <w:rFonts w:eastAsia="Calibri"/>
          <w:color w:val="000000"/>
          <w:kern w:val="12"/>
        </w:rPr>
        <w:t xml:space="preserve">and </w:t>
      </w:r>
      <w:r w:rsidRPr="001E374C">
        <w:rPr>
          <w:rFonts w:eastAsia="Calibri"/>
          <w:color w:val="000000"/>
          <w:kern w:val="12"/>
          <w:lang w:val="x-none"/>
        </w:rPr>
        <w:t xml:space="preserve">where appropriate, the updating of these references. </w:t>
      </w:r>
      <w:r w:rsidRPr="001E374C">
        <w:rPr>
          <w:rFonts w:eastAsia="Calibri"/>
          <w:color w:val="000000"/>
          <w:kern w:val="12"/>
        </w:rPr>
        <w:t>Australia will support proposals which assist to update these references to maintain relevancy.</w:t>
      </w:r>
    </w:p>
    <w:p w14:paraId="2A7C0CF4" w14:textId="77777777" w:rsidR="009F4C07" w:rsidRPr="001E374C" w:rsidRDefault="009F4C07" w:rsidP="00925E37">
      <w:pPr>
        <w:jc w:val="both"/>
        <w:rPr>
          <w:b/>
          <w:lang w:eastAsia="ko-KR"/>
        </w:rPr>
      </w:pPr>
    </w:p>
    <w:p w14:paraId="1CF0C876" w14:textId="43045668" w:rsidR="00925E37" w:rsidRPr="001E374C" w:rsidRDefault="00925E37" w:rsidP="00925E37">
      <w:pPr>
        <w:jc w:val="both"/>
        <w:rPr>
          <w:b/>
          <w:lang w:eastAsia="ko-KR"/>
        </w:rPr>
      </w:pPr>
      <w:r w:rsidRPr="001E374C">
        <w:rPr>
          <w:b/>
          <w:lang w:eastAsia="ko-KR"/>
        </w:rPr>
        <w:t xml:space="preserve">3.1.6 </w:t>
      </w:r>
      <w:r w:rsidRPr="001E374C">
        <w:rPr>
          <w:b/>
          <w:lang w:eastAsia="ko-KR"/>
        </w:rPr>
        <w:tab/>
        <w:t xml:space="preserve">China </w:t>
      </w:r>
      <w:r w:rsidRPr="001E374C">
        <w:t>-</w:t>
      </w:r>
      <w:r w:rsidRPr="001E374C">
        <w:rPr>
          <w:b/>
          <w:lang w:eastAsia="ko-KR"/>
        </w:rPr>
        <w:t xml:space="preserve"> Document APG23-6/INP-107</w:t>
      </w:r>
    </w:p>
    <w:p w14:paraId="70B910F1" w14:textId="77777777" w:rsidR="009F4C07" w:rsidRPr="001E374C" w:rsidRDefault="009F4C07" w:rsidP="009F4C07">
      <w:pPr>
        <w:rPr>
          <w:b/>
        </w:rPr>
      </w:pPr>
      <w:r w:rsidRPr="001E374C">
        <w:rPr>
          <w:rFonts w:eastAsia="Calibri"/>
          <w:color w:val="000000"/>
          <w:kern w:val="12"/>
        </w:rPr>
        <w:t xml:space="preserve">This administration supports the examination and review of ITU-R Recommendations incorporated by reference in the Radio Regulations and, where appropriate, the updating of these references in accordance with Resolution </w:t>
      </w:r>
      <w:r w:rsidRPr="001E374C">
        <w:rPr>
          <w:b/>
        </w:rPr>
        <w:t>27 (Rev.WRC-19).</w:t>
      </w:r>
    </w:p>
    <w:p w14:paraId="06CBEAE9" w14:textId="1AF7D94A" w:rsidR="009F4C07" w:rsidRPr="001E374C" w:rsidRDefault="009F4C07" w:rsidP="009F4C07">
      <w:pPr>
        <w:pStyle w:val="ListParagraph"/>
        <w:numPr>
          <w:ilvl w:val="0"/>
          <w:numId w:val="20"/>
        </w:numPr>
        <w:rPr>
          <w:rFonts w:eastAsiaTheme="minorEastAsia"/>
          <w:color w:val="000000"/>
          <w:kern w:val="12"/>
          <w:lang w:eastAsia="zh-CN"/>
        </w:rPr>
      </w:pPr>
      <w:r w:rsidRPr="001E374C">
        <w:rPr>
          <w:rFonts w:eastAsiaTheme="minorEastAsia"/>
          <w:color w:val="000000"/>
          <w:kern w:val="12"/>
          <w:lang w:eastAsia="zh-CN"/>
        </w:rPr>
        <w:t xml:space="preserve">According to the latest progress of the ITU-R studies in the relevant Working Parties </w:t>
      </w:r>
      <w:r w:rsidRPr="001E374C">
        <w:rPr>
          <w:rFonts w:eastAsiaTheme="minorEastAsia" w:hint="eastAsia"/>
          <w:color w:val="000000"/>
          <w:kern w:val="12"/>
          <w:lang w:eastAsia="zh-CN"/>
        </w:rPr>
        <w:t>as</w:t>
      </w:r>
      <w:r w:rsidRPr="001E374C">
        <w:rPr>
          <w:rFonts w:eastAsiaTheme="minorEastAsia"/>
          <w:color w:val="000000"/>
          <w:kern w:val="12"/>
          <w:lang w:eastAsia="zh-CN"/>
        </w:rPr>
        <w:t xml:space="preserve"> of June 20</w:t>
      </w:r>
      <w:r w:rsidRPr="001E374C">
        <w:rPr>
          <w:rFonts w:eastAsiaTheme="minorEastAsia" w:hint="eastAsia"/>
          <w:color w:val="000000"/>
          <w:kern w:val="12"/>
          <w:lang w:eastAsia="zh-CN"/>
        </w:rPr>
        <w:t>2</w:t>
      </w:r>
      <w:r w:rsidRPr="001E374C">
        <w:rPr>
          <w:rFonts w:eastAsiaTheme="minorEastAsia"/>
          <w:color w:val="000000"/>
          <w:kern w:val="12"/>
          <w:lang w:eastAsia="zh-CN"/>
        </w:rPr>
        <w:t>3, the list of IBR Recommendations is updated.</w:t>
      </w:r>
    </w:p>
    <w:p w14:paraId="57FF9BC6" w14:textId="77777777" w:rsidR="009F4C07" w:rsidRPr="001E374C" w:rsidRDefault="009F4C07" w:rsidP="009F4C07">
      <w:pPr>
        <w:pStyle w:val="ListParagraph"/>
        <w:numPr>
          <w:ilvl w:val="0"/>
          <w:numId w:val="20"/>
        </w:numPr>
        <w:rPr>
          <w:rFonts w:eastAsiaTheme="minorEastAsia"/>
          <w:color w:val="000000"/>
          <w:kern w:val="12"/>
          <w:lang w:eastAsia="zh-CN"/>
        </w:rPr>
      </w:pPr>
      <w:r w:rsidRPr="001E374C">
        <w:rPr>
          <w:rFonts w:eastAsiaTheme="minorEastAsia"/>
          <w:color w:val="000000"/>
          <w:kern w:val="12"/>
          <w:lang w:eastAsia="zh-CN"/>
        </w:rPr>
        <w:t xml:space="preserve">The administration supports the preliminary regulatory text in Attachment 2 of </w:t>
      </w:r>
      <w:bookmarkStart w:id="9" w:name="_Hlk139093157"/>
      <w:r w:rsidRPr="001E374C">
        <w:rPr>
          <w:rFonts w:eastAsiaTheme="minorEastAsia"/>
          <w:lang w:eastAsia="zh-CN"/>
        </w:rPr>
        <w:t>APG23-5/OUT-34</w:t>
      </w:r>
      <w:bookmarkEnd w:id="9"/>
      <w:r w:rsidRPr="001E374C">
        <w:rPr>
          <w:rFonts w:eastAsiaTheme="minorEastAsia"/>
          <w:color w:val="000000"/>
          <w:kern w:val="12"/>
          <w:lang w:eastAsia="zh-CN"/>
        </w:rPr>
        <w:t xml:space="preserve"> after examining the related RR provisions and WRC Resolutions.</w:t>
      </w:r>
    </w:p>
    <w:p w14:paraId="58FBC69D" w14:textId="77777777" w:rsidR="009D4B7A" w:rsidRDefault="009D4B7A" w:rsidP="009D4B7A">
      <w:pPr>
        <w:jc w:val="both"/>
        <w:rPr>
          <w:lang w:val="en-NZ"/>
        </w:rPr>
      </w:pPr>
    </w:p>
    <w:p w14:paraId="7A63430F" w14:textId="77777777" w:rsidR="009D4B7A" w:rsidRPr="00A65C31" w:rsidRDefault="009D4B7A" w:rsidP="009D4B7A">
      <w:pPr>
        <w:spacing w:after="120"/>
        <w:jc w:val="both"/>
        <w:rPr>
          <w:b/>
          <w:lang w:val="en-NZ"/>
        </w:rPr>
      </w:pPr>
      <w:r w:rsidRPr="00A65C31">
        <w:rPr>
          <w:b/>
          <w:lang w:val="en-NZ"/>
        </w:rPr>
        <w:t xml:space="preserve">3.2 </w:t>
      </w:r>
      <w:r w:rsidRPr="00A65C31">
        <w:rPr>
          <w:b/>
          <w:lang w:val="en-NZ"/>
        </w:rPr>
        <w:tab/>
        <w:t>S</w:t>
      </w:r>
      <w:r w:rsidRPr="00A65C31">
        <w:rPr>
          <w:b/>
          <w:lang w:val="en-NZ" w:eastAsia="ko-KR"/>
        </w:rPr>
        <w:t>ummary of issues raised du</w:t>
      </w:r>
      <w:r w:rsidRPr="00A65C31">
        <w:rPr>
          <w:b/>
          <w:lang w:val="en-NZ"/>
        </w:rPr>
        <w:t>ring the meeting</w:t>
      </w:r>
    </w:p>
    <w:p w14:paraId="4A72B64A" w14:textId="7DF374CD" w:rsidR="002C7BFB" w:rsidRPr="00A65C31" w:rsidRDefault="002C1D47" w:rsidP="002C7BFB">
      <w:pPr>
        <w:spacing w:before="120"/>
      </w:pPr>
      <w:r w:rsidRPr="00A65C31">
        <w:t>It was noted that t</w:t>
      </w:r>
      <w:r w:rsidR="002C7BFB" w:rsidRPr="00A65C31">
        <w:t>he</w:t>
      </w:r>
      <w:r w:rsidR="00F441E2" w:rsidRPr="00A65C31">
        <w:t xml:space="preserve"> following</w:t>
      </w:r>
      <w:r w:rsidR="002C7BFB" w:rsidRPr="00A65C31">
        <w:t xml:space="preserve"> </w:t>
      </w:r>
      <w:r w:rsidR="006D1D7B" w:rsidRPr="00A65C31">
        <w:t>two</w:t>
      </w:r>
      <w:r w:rsidR="002C7BFB" w:rsidRPr="00A65C31">
        <w:t xml:space="preserve"> </w:t>
      </w:r>
      <w:r w:rsidR="00F441E2" w:rsidRPr="00A65C31">
        <w:t>IBR</w:t>
      </w:r>
      <w:r w:rsidR="002C7BFB" w:rsidRPr="00A65C31">
        <w:t xml:space="preserve"> Recommendations may be revised before WRC-23</w:t>
      </w:r>
      <w:r w:rsidR="00F559AE" w:rsidRPr="00A65C31">
        <w:t>:</w:t>
      </w:r>
    </w:p>
    <w:p w14:paraId="6F70BACC" w14:textId="12AD95C7" w:rsidR="002C7BFB" w:rsidRPr="00A65C31" w:rsidRDefault="002C7BFB" w:rsidP="002C7BFB">
      <w:pPr>
        <w:pStyle w:val="ListParagraph"/>
        <w:numPr>
          <w:ilvl w:val="0"/>
          <w:numId w:val="15"/>
        </w:numPr>
        <w:rPr>
          <w:rFonts w:eastAsia="MS Mincho"/>
          <w:lang w:eastAsia="ja-JP"/>
        </w:rPr>
      </w:pPr>
      <w:r w:rsidRPr="00A65C31">
        <w:rPr>
          <w:rFonts w:eastAsia="MS Mincho" w:hint="eastAsia"/>
          <w:lang w:eastAsia="ja-JP"/>
        </w:rPr>
        <w:t>R</w:t>
      </w:r>
      <w:r w:rsidRPr="00A65C31">
        <w:rPr>
          <w:rFonts w:eastAsia="MS Mincho"/>
          <w:lang w:eastAsia="ja-JP"/>
        </w:rPr>
        <w:t>ec. ITU-R M.541-10</w:t>
      </w:r>
    </w:p>
    <w:p w14:paraId="52BB21FD" w14:textId="2857A86B" w:rsidR="002C7BFB" w:rsidRPr="00A65C31" w:rsidRDefault="002C7BFB" w:rsidP="002C7BFB">
      <w:pPr>
        <w:pStyle w:val="ListParagraph"/>
        <w:numPr>
          <w:ilvl w:val="0"/>
          <w:numId w:val="15"/>
        </w:numPr>
        <w:rPr>
          <w:rFonts w:eastAsia="MS Mincho"/>
          <w:lang w:eastAsia="ja-JP"/>
        </w:rPr>
      </w:pPr>
      <w:r w:rsidRPr="00A65C31">
        <w:rPr>
          <w:rFonts w:eastAsia="MS Mincho" w:hint="eastAsia"/>
          <w:lang w:eastAsia="ja-JP"/>
        </w:rPr>
        <w:t>R</w:t>
      </w:r>
      <w:r w:rsidRPr="00A65C31">
        <w:rPr>
          <w:rFonts w:eastAsia="MS Mincho"/>
          <w:lang w:eastAsia="ja-JP"/>
        </w:rPr>
        <w:t>ec. ITU-R M.1171-0</w:t>
      </w:r>
    </w:p>
    <w:p w14:paraId="7013C6BE" w14:textId="10643728" w:rsidR="002C7BFB" w:rsidRPr="00732913" w:rsidRDefault="00F441E2" w:rsidP="002C7BFB">
      <w:pPr>
        <w:rPr>
          <w:b/>
          <w:lang w:eastAsia="ko-KR"/>
        </w:rPr>
      </w:pPr>
      <w:r w:rsidRPr="00A65C31">
        <w:t xml:space="preserve">Draft Revisions for these Recommendations were completed by WP5B and submitted to </w:t>
      </w:r>
      <w:r w:rsidR="00F559AE" w:rsidRPr="00A65C31">
        <w:t xml:space="preserve">the </w:t>
      </w:r>
      <w:r w:rsidRPr="00A65C31">
        <w:t>SG5 meeting in September 2023</w:t>
      </w:r>
      <w:r w:rsidR="001D5E6A" w:rsidRPr="00A65C31">
        <w:t xml:space="preserve"> (SG5/156 and 157 respectively)</w:t>
      </w:r>
      <w:r w:rsidRPr="00A65C31">
        <w:t xml:space="preserve">.  </w:t>
      </w:r>
      <w:r w:rsidR="002C7BFB" w:rsidRPr="00A65C31">
        <w:rPr>
          <w:rFonts w:eastAsia="MS Mincho"/>
          <w:lang w:eastAsia="ja-JP"/>
        </w:rPr>
        <w:t>APT Members are invited to monitor the</w:t>
      </w:r>
      <w:r w:rsidR="00582167" w:rsidRPr="00A65C31">
        <w:rPr>
          <w:rFonts w:eastAsia="MS Mincho"/>
          <w:lang w:eastAsia="ja-JP"/>
        </w:rPr>
        <w:t xml:space="preserve"> result</w:t>
      </w:r>
      <w:r w:rsidR="00F559AE" w:rsidRPr="00A65C31">
        <w:rPr>
          <w:rFonts w:eastAsia="MS Mincho"/>
          <w:lang w:eastAsia="ja-JP"/>
        </w:rPr>
        <w:t>s</w:t>
      </w:r>
      <w:r w:rsidR="00582167" w:rsidRPr="00A65C31">
        <w:rPr>
          <w:rFonts w:eastAsia="MS Mincho"/>
          <w:lang w:eastAsia="ja-JP"/>
        </w:rPr>
        <w:t xml:space="preserve"> of</w:t>
      </w:r>
      <w:r w:rsidR="002C7BFB" w:rsidRPr="00A65C31">
        <w:rPr>
          <w:rFonts w:eastAsia="MS Mincho"/>
          <w:lang w:eastAsia="ja-JP"/>
        </w:rPr>
        <w:t xml:space="preserve"> </w:t>
      </w:r>
      <w:r w:rsidR="00F559AE" w:rsidRPr="00A65C31">
        <w:rPr>
          <w:rFonts w:eastAsia="MS Mincho"/>
          <w:lang w:eastAsia="ja-JP"/>
        </w:rPr>
        <w:t xml:space="preserve">the </w:t>
      </w:r>
      <w:r w:rsidR="001D5E6A" w:rsidRPr="00A65C31">
        <w:rPr>
          <w:rFonts w:eastAsia="MS Mincho"/>
          <w:lang w:eastAsia="ja-JP"/>
        </w:rPr>
        <w:t xml:space="preserve">consideration by SG5 and </w:t>
      </w:r>
      <w:r w:rsidR="00F559AE" w:rsidRPr="00A65C31">
        <w:rPr>
          <w:rFonts w:eastAsia="MS Mincho"/>
          <w:lang w:eastAsia="ja-JP"/>
        </w:rPr>
        <w:t xml:space="preserve">the </w:t>
      </w:r>
      <w:r w:rsidR="001D5E6A" w:rsidRPr="00A65C31">
        <w:rPr>
          <w:rFonts w:eastAsia="MS Mincho"/>
          <w:lang w:eastAsia="ja-JP"/>
        </w:rPr>
        <w:t>subsequent approval procedure that may include the decision made by RA-23</w:t>
      </w:r>
      <w:r w:rsidR="002C7BFB" w:rsidRPr="00A65C31">
        <w:rPr>
          <w:rFonts w:eastAsia="MS Mincho"/>
          <w:lang w:eastAsia="ja-JP"/>
        </w:rPr>
        <w:t>.</w:t>
      </w:r>
    </w:p>
    <w:p w14:paraId="15656357" w14:textId="77777777" w:rsidR="002C7BFB" w:rsidRPr="00441526" w:rsidRDefault="002C7BFB" w:rsidP="002C7BFB">
      <w:pPr>
        <w:jc w:val="both"/>
        <w:rPr>
          <w:lang w:val="en-NZ"/>
        </w:rPr>
      </w:pP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27B3DE19" w14:textId="12C4C5D7" w:rsidR="00EB506D" w:rsidRPr="00240CC9" w:rsidRDefault="00EB506D" w:rsidP="00EB506D">
      <w:pPr>
        <w:spacing w:before="120"/>
        <w:rPr>
          <w:b/>
          <w:bCs/>
          <w:lang w:val="en-GB" w:eastAsia="ja-JP"/>
        </w:rPr>
      </w:pPr>
      <w:r w:rsidRPr="00240CC9">
        <w:rPr>
          <w:rFonts w:hint="eastAsia"/>
          <w:b/>
          <w:bCs/>
          <w:lang w:val="en-GB" w:eastAsia="ja-JP"/>
        </w:rPr>
        <w:t xml:space="preserve">Issue 1: </w:t>
      </w:r>
      <w:r w:rsidRPr="00240CC9">
        <w:rPr>
          <w:b/>
          <w:bCs/>
          <w:lang w:val="en-GB" w:eastAsia="ja-JP"/>
        </w:rPr>
        <w:t xml:space="preserve">Consideration of the revised IBR </w:t>
      </w:r>
      <w:r w:rsidR="0030054E" w:rsidRPr="00240CC9">
        <w:rPr>
          <w:b/>
          <w:bCs/>
          <w:lang w:val="en-GB" w:eastAsia="ja-JP"/>
        </w:rPr>
        <w:t xml:space="preserve">ITU-R </w:t>
      </w:r>
      <w:r w:rsidRPr="00240CC9">
        <w:rPr>
          <w:b/>
          <w:bCs/>
          <w:lang w:val="en-GB" w:eastAsia="ja-JP"/>
        </w:rPr>
        <w:t>Recommendations and consequential changes to the relevant references in the Radio Regulations</w:t>
      </w:r>
    </w:p>
    <w:p w14:paraId="38EEEF1B" w14:textId="44C29CD9" w:rsidR="00346332" w:rsidRPr="00240CC9" w:rsidRDefault="00EB506D" w:rsidP="00346332">
      <w:r w:rsidRPr="00240CC9">
        <w:t>APT members agreed to update the relevant references in the Radio Regulations for Recommendation ITU-R M.585.</w:t>
      </w:r>
      <w:r w:rsidR="00346332" w:rsidRPr="00240CC9">
        <w:t xml:space="preserve">  </w:t>
      </w:r>
      <w:r w:rsidR="00B73A9B" w:rsidRPr="00240CC9">
        <w:t>Furthermore, f</w:t>
      </w:r>
      <w:r w:rsidR="00346332" w:rsidRPr="00240CC9">
        <w:t xml:space="preserve">ollowing the past practice, APT members also agreed to prepare the relevant regulatory text regarding Recommendation ITU-R M.633 </w:t>
      </w:r>
      <w:r w:rsidR="00A05644" w:rsidRPr="00240CC9">
        <w:t>in order to facilitate the consideration by WRC-23</w:t>
      </w:r>
      <w:r w:rsidR="00E640D0" w:rsidRPr="00240CC9">
        <w:t>,</w:t>
      </w:r>
      <w:r w:rsidR="00A05644" w:rsidRPr="00240CC9">
        <w:t xml:space="preserve"> in case the revision is indeed approved b</w:t>
      </w:r>
      <w:r w:rsidR="00240CC9">
        <w:t>efore</w:t>
      </w:r>
      <w:r w:rsidR="00A05644" w:rsidRPr="00240CC9">
        <w:t xml:space="preserve"> </w:t>
      </w:r>
      <w:r w:rsidR="00B73A9B" w:rsidRPr="00240CC9">
        <w:t>WRC-23</w:t>
      </w:r>
      <w:r w:rsidR="00346332" w:rsidRPr="00240CC9">
        <w:t>.</w:t>
      </w:r>
    </w:p>
    <w:p w14:paraId="3A5C2812" w14:textId="4157BC18" w:rsidR="00EB506D" w:rsidRPr="00240CC9" w:rsidRDefault="00EB506D" w:rsidP="00EB506D"/>
    <w:p w14:paraId="72587FD0" w14:textId="77777777" w:rsidR="00EB506D" w:rsidRPr="00240CC9" w:rsidRDefault="00EB506D" w:rsidP="00EB506D">
      <w:pPr>
        <w:rPr>
          <w:b/>
          <w:bCs/>
          <w:lang w:eastAsia="ja-JP"/>
        </w:rPr>
      </w:pPr>
      <w:r w:rsidRPr="00240CC9">
        <w:rPr>
          <w:b/>
          <w:bCs/>
          <w:lang w:eastAsia="ja-JP"/>
        </w:rPr>
        <w:t>Issue 2: Removal of reference to Resolution 27 (Rev.WRC-19) in some provisions</w:t>
      </w:r>
    </w:p>
    <w:p w14:paraId="482C44E0" w14:textId="77777777" w:rsidR="00EB506D" w:rsidRPr="00240CC9" w:rsidRDefault="00EB506D" w:rsidP="00EB506D">
      <w:pPr>
        <w:rPr>
          <w:rFonts w:eastAsia="MS Mincho"/>
          <w:b/>
          <w:bCs/>
          <w:lang w:eastAsia="ja-JP"/>
        </w:rPr>
      </w:pPr>
      <w:r w:rsidRPr="00240CC9">
        <w:rPr>
          <w:rFonts w:eastAsia="MS Mincho"/>
          <w:lang w:eastAsia="ja-JP"/>
        </w:rPr>
        <w:t xml:space="preserve">APT Members agreed to remove the reference to Resolution </w:t>
      </w:r>
      <w:r w:rsidRPr="00240CC9">
        <w:rPr>
          <w:rFonts w:eastAsia="MS Mincho"/>
          <w:b/>
          <w:bCs/>
          <w:lang w:eastAsia="ja-JP"/>
        </w:rPr>
        <w:t xml:space="preserve">27 (Rev. WRC-03) </w:t>
      </w:r>
      <w:r w:rsidRPr="00240CC9">
        <w:rPr>
          <w:rFonts w:eastAsia="MS Mincho"/>
          <w:lang w:eastAsia="ja-JP"/>
        </w:rPr>
        <w:t xml:space="preserve">from RR Nos. </w:t>
      </w:r>
      <w:r w:rsidRPr="00240CC9">
        <w:rPr>
          <w:rFonts w:eastAsia="MS Mincho"/>
          <w:b/>
          <w:bCs/>
          <w:lang w:eastAsia="ja-JP"/>
        </w:rPr>
        <w:t>21.2.2</w:t>
      </w:r>
      <w:r w:rsidRPr="00240CC9">
        <w:rPr>
          <w:rFonts w:eastAsia="MS Mincho"/>
          <w:lang w:eastAsia="ja-JP"/>
        </w:rPr>
        <w:t xml:space="preserve"> and </w:t>
      </w:r>
      <w:r w:rsidRPr="00240CC9">
        <w:rPr>
          <w:rFonts w:eastAsia="MS Mincho"/>
          <w:b/>
          <w:bCs/>
          <w:lang w:eastAsia="ja-JP"/>
        </w:rPr>
        <w:t>21.4.1.</w:t>
      </w:r>
    </w:p>
    <w:p w14:paraId="655B1805" w14:textId="77777777" w:rsidR="00EB506D" w:rsidRPr="00B73A9B" w:rsidRDefault="00EB506D" w:rsidP="00EB506D">
      <w:pPr>
        <w:rPr>
          <w:rFonts w:eastAsia="MS Mincho"/>
          <w:b/>
          <w:bCs/>
          <w:highlight w:val="green"/>
          <w:lang w:eastAsia="ja-JP"/>
        </w:rPr>
      </w:pPr>
    </w:p>
    <w:p w14:paraId="72B55F11" w14:textId="77777777" w:rsidR="00EB506D" w:rsidRPr="00240CC9" w:rsidRDefault="00EB506D" w:rsidP="00EB506D">
      <w:pPr>
        <w:rPr>
          <w:b/>
          <w:bCs/>
          <w:lang w:eastAsia="ja-JP"/>
        </w:rPr>
      </w:pPr>
      <w:r w:rsidRPr="00240CC9">
        <w:rPr>
          <w:b/>
          <w:bCs/>
          <w:lang w:eastAsia="ja-JP"/>
        </w:rPr>
        <w:t>Issue 3: Standardizing how to reference ITU-R Recommendations in non-mandatory nature</w:t>
      </w:r>
    </w:p>
    <w:p w14:paraId="330CF48E" w14:textId="7A7FF803" w:rsidR="00EB506D" w:rsidRPr="00240CC9" w:rsidRDefault="00EB506D" w:rsidP="00EB506D">
      <w:pPr>
        <w:rPr>
          <w:rFonts w:eastAsia="MS Mincho"/>
          <w:lang w:eastAsia="ja-JP"/>
        </w:rPr>
      </w:pPr>
      <w:r w:rsidRPr="00240CC9">
        <w:rPr>
          <w:lang w:eastAsia="ja-JP"/>
        </w:rPr>
        <w:t xml:space="preserve">APT Members agreed to use the phrase “most recent version of” for </w:t>
      </w:r>
      <w:r w:rsidR="007C1DB1" w:rsidRPr="00240CC9">
        <w:rPr>
          <w:lang w:eastAsia="ja-JP"/>
        </w:rPr>
        <w:t xml:space="preserve">some </w:t>
      </w:r>
      <w:r w:rsidRPr="00240CC9">
        <w:rPr>
          <w:lang w:eastAsia="ja-JP"/>
        </w:rPr>
        <w:t>non-mandatory Recommendations in the Radio Regulations, where appropriate.</w:t>
      </w:r>
    </w:p>
    <w:p w14:paraId="4638940E" w14:textId="77777777" w:rsidR="009D4B7A" w:rsidRPr="00240CC9" w:rsidRDefault="009D4B7A" w:rsidP="009D4B7A">
      <w:pPr>
        <w:rPr>
          <w:lang w:val="en-NZ"/>
        </w:rPr>
      </w:pPr>
    </w:p>
    <w:p w14:paraId="0394B043" w14:textId="6EA356DD" w:rsidR="009D4B7A" w:rsidRPr="00B73A9B" w:rsidRDefault="00B73A9B" w:rsidP="009D4B7A">
      <w:pPr>
        <w:rPr>
          <w:rFonts w:eastAsiaTheme="minorEastAsia"/>
          <w:lang w:val="en-NZ" w:eastAsia="ja-JP"/>
        </w:rPr>
      </w:pPr>
      <w:r w:rsidRPr="00240CC9">
        <w:rPr>
          <w:rFonts w:eastAsiaTheme="minorEastAsia" w:hint="eastAsia"/>
          <w:lang w:val="en-NZ" w:eastAsia="ja-JP"/>
        </w:rPr>
        <w:t>P</w:t>
      </w:r>
      <w:r w:rsidRPr="00240CC9">
        <w:rPr>
          <w:rFonts w:eastAsiaTheme="minorEastAsia"/>
          <w:lang w:val="en-NZ" w:eastAsia="ja-JP"/>
        </w:rPr>
        <w:t xml:space="preserve">roposals related to these three issues are included in </w:t>
      </w:r>
      <w:r w:rsidR="00E640D0" w:rsidRPr="00240CC9">
        <w:rPr>
          <w:rFonts w:eastAsiaTheme="minorEastAsia"/>
          <w:lang w:val="en-NZ" w:eastAsia="ja-JP"/>
        </w:rPr>
        <w:t xml:space="preserve">the </w:t>
      </w:r>
      <w:r w:rsidRPr="00240CC9">
        <w:rPr>
          <w:rFonts w:eastAsiaTheme="minorEastAsia"/>
          <w:lang w:val="en-NZ" w:eastAsia="ja-JP"/>
        </w:rPr>
        <w:t>Preliminary APT Common Proposal in Section 5.</w:t>
      </w:r>
    </w:p>
    <w:p w14:paraId="523B9B93" w14:textId="77777777" w:rsidR="00B73A9B" w:rsidRPr="00441526" w:rsidRDefault="00B73A9B"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bookmarkStart w:id="10" w:name="_MON_1753672032"/>
    <w:bookmarkEnd w:id="10"/>
    <w:p w14:paraId="3AE817BE" w14:textId="57B305EA" w:rsidR="009D4B7A" w:rsidRDefault="00985A35" w:rsidP="009D4B7A">
      <w:pPr>
        <w:rPr>
          <w:lang w:val="en-NZ"/>
        </w:rPr>
      </w:pPr>
      <w:r>
        <w:rPr>
          <w:lang w:val="en-NZ"/>
        </w:rPr>
        <w:object w:dxaOrig="1376" w:dyaOrig="930" w14:anchorId="5723B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6.9pt" o:ole="">
            <v:imagedata r:id="rId9" o:title=""/>
          </v:shape>
          <o:OLEObject Type="Embed" ProgID="Word.Document.12" ShapeID="_x0000_i1025" DrawAspect="Icon" ObjectID="_1753935731" r:id="rId10">
            <o:FieldCodes>\s</o:FieldCodes>
          </o:OLEObject>
        </w:object>
      </w:r>
    </w:p>
    <w:p w14:paraId="5F010FF2" w14:textId="48F8FD11" w:rsidR="00D348CC" w:rsidRDefault="00D348CC">
      <w:pPr>
        <w:rPr>
          <w:lang w:val="en-NZ"/>
        </w:rPr>
      </w:pPr>
      <w:r>
        <w:rPr>
          <w:lang w:val="en-NZ"/>
        </w:rPr>
        <w:br w:type="page"/>
      </w:r>
    </w:p>
    <w:p w14:paraId="5CA333B1" w14:textId="089C44C5" w:rsidR="009D4B7A" w:rsidRPr="00441526" w:rsidRDefault="009D4B7A" w:rsidP="009D4B7A">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1B329550" w14:textId="190D479B" w:rsidR="009D4B7A" w:rsidRPr="006030C0" w:rsidRDefault="006030C0" w:rsidP="009D4B7A">
      <w:pPr>
        <w:jc w:val="both"/>
        <w:rPr>
          <w:rFonts w:eastAsiaTheme="minorEastAsia"/>
          <w:lang w:val="en-NZ" w:eastAsia="ja-JP"/>
        </w:rPr>
      </w:pPr>
      <w:r>
        <w:rPr>
          <w:rFonts w:eastAsiaTheme="minorEastAsia" w:hint="eastAsia"/>
          <w:lang w:val="en-NZ" w:eastAsia="ja-JP"/>
        </w:rPr>
        <w:t>n</w:t>
      </w:r>
      <w:r>
        <w:rPr>
          <w:rFonts w:eastAsiaTheme="minorEastAsia"/>
          <w:lang w:val="en-NZ" w:eastAsia="ja-JP"/>
        </w:rPr>
        <w:t>one</w:t>
      </w:r>
    </w:p>
    <w:p w14:paraId="7E96F128" w14:textId="77777777" w:rsidR="009D4B7A" w:rsidRPr="00441526" w:rsidRDefault="009D4B7A" w:rsidP="009D4B7A">
      <w:pPr>
        <w:jc w:val="both"/>
        <w:rPr>
          <w:lang w:val="en-NZ"/>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t>APG</w:t>
      </w:r>
      <w:r>
        <w:rPr>
          <w:lang w:val="en-NZ"/>
        </w:rPr>
        <w:t>23-</w:t>
      </w:r>
      <w:r w:rsidR="00837E04">
        <w:rPr>
          <w:lang w:val="en-NZ"/>
        </w:rPr>
        <w:t>6</w:t>
      </w:r>
      <w:r>
        <w:rPr>
          <w:lang w:val="en-NZ"/>
        </w:rPr>
        <w:t>)</w:t>
      </w:r>
    </w:p>
    <w:p w14:paraId="6873B883" w14:textId="77777777" w:rsidR="009D4B7A" w:rsidRPr="00441526" w:rsidRDefault="009D4B7A" w:rsidP="009D4B7A">
      <w:pPr>
        <w:jc w:val="both"/>
        <w:rPr>
          <w:lang w:val="en-NZ"/>
        </w:rPr>
      </w:pP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32ACB214" w14:textId="300F698A" w:rsidR="00A147C0" w:rsidRPr="00A147C0" w:rsidRDefault="009D4B7A" w:rsidP="000C2E20">
      <w:pPr>
        <w:spacing w:before="120"/>
        <w:jc w:val="both"/>
        <w:rPr>
          <w:rFonts w:eastAsiaTheme="minorEastAsia"/>
          <w:b/>
          <w:lang w:eastAsia="ja-JP"/>
        </w:rPr>
      </w:pPr>
      <w:r w:rsidRPr="00A147C0">
        <w:rPr>
          <w:b/>
          <w:lang w:val="en-NZ" w:eastAsia="ko-KR"/>
        </w:rPr>
        <w:t xml:space="preserve">7.1.1 </w:t>
      </w:r>
      <w:r w:rsidRPr="00A147C0">
        <w:rPr>
          <w:b/>
          <w:lang w:val="en-NZ" w:eastAsia="ko-KR"/>
        </w:rPr>
        <w:tab/>
      </w:r>
      <w:r w:rsidR="00A147C0" w:rsidRPr="00A147C0">
        <w:rPr>
          <w:rFonts w:eastAsiaTheme="minorEastAsia"/>
          <w:b/>
          <w:lang w:eastAsia="ja-JP"/>
        </w:rPr>
        <w:t>ASMG</w:t>
      </w:r>
      <w:r w:rsidR="00A147C0" w:rsidRPr="00A147C0">
        <w:rPr>
          <w:vertAlign w:val="superscript"/>
          <w:lang w:eastAsia="ja-JP"/>
        </w:rPr>
        <w:footnoteReference w:id="1"/>
      </w:r>
    </w:p>
    <w:p w14:paraId="19E9A099" w14:textId="77777777" w:rsidR="00A147C0" w:rsidRPr="00A147C0" w:rsidRDefault="00A147C0" w:rsidP="00A147C0">
      <w:pPr>
        <w:pStyle w:val="ListParagraph"/>
        <w:numPr>
          <w:ilvl w:val="0"/>
          <w:numId w:val="12"/>
        </w:numPr>
        <w:jc w:val="both"/>
        <w:rPr>
          <w:rFonts w:eastAsiaTheme="minorEastAsia"/>
          <w:lang w:eastAsia="ja-JP"/>
        </w:rPr>
      </w:pPr>
      <w:r w:rsidRPr="00A147C0">
        <w:rPr>
          <w:rFonts w:eastAsiaTheme="minorEastAsia"/>
          <w:lang w:eastAsia="ja-JP"/>
        </w:rPr>
        <w:t xml:space="preserve">ASMG administrations support the principle of Resolution </w:t>
      </w:r>
      <w:r w:rsidRPr="00A147C0">
        <w:rPr>
          <w:rFonts w:eastAsiaTheme="minorEastAsia"/>
          <w:b/>
          <w:bCs/>
          <w:lang w:eastAsia="ja-JP"/>
        </w:rPr>
        <w:t>27 (Rev.WRC</w:t>
      </w:r>
      <w:r w:rsidRPr="00A147C0">
        <w:rPr>
          <w:rFonts w:eastAsiaTheme="minorEastAsia" w:hint="eastAsia"/>
          <w:lang w:eastAsia="ja-JP"/>
        </w:rPr>
        <w:t>-</w:t>
      </w:r>
      <w:r w:rsidRPr="00A147C0">
        <w:rPr>
          <w:rFonts w:eastAsiaTheme="minorEastAsia"/>
          <w:b/>
          <w:bCs/>
          <w:lang w:eastAsia="ja-JP"/>
        </w:rPr>
        <w:t>19)</w:t>
      </w:r>
      <w:r w:rsidRPr="00A147C0">
        <w:rPr>
          <w:rFonts w:eastAsiaTheme="minorEastAsia"/>
          <w:lang w:eastAsia="ja-JP"/>
        </w:rPr>
        <w:t xml:space="preserve"> to review and examine Recommendations incorporated by reference in the Radio Regulations with a view to update them as appropriate.</w:t>
      </w:r>
    </w:p>
    <w:p w14:paraId="32C2D54A" w14:textId="77777777" w:rsidR="00A147C0" w:rsidRPr="00A147C0" w:rsidRDefault="00A147C0" w:rsidP="00A147C0">
      <w:pPr>
        <w:pStyle w:val="ListParagraph"/>
        <w:numPr>
          <w:ilvl w:val="0"/>
          <w:numId w:val="12"/>
        </w:numPr>
        <w:jc w:val="both"/>
        <w:rPr>
          <w:rFonts w:eastAsiaTheme="minorEastAsia"/>
          <w:lang w:eastAsia="ja-JP"/>
        </w:rPr>
      </w:pPr>
      <w:r w:rsidRPr="00A147C0">
        <w:rPr>
          <w:rFonts w:eastAsiaTheme="minorEastAsia"/>
          <w:lang w:eastAsia="ja-JP"/>
        </w:rPr>
        <w:t>Invite ASMG members to actively participate in ITU-R related working groups on the revision of these recommendations.</w:t>
      </w:r>
    </w:p>
    <w:p w14:paraId="6D604A93" w14:textId="76B03890" w:rsidR="00A147C0" w:rsidRPr="00A147C0" w:rsidRDefault="00A147C0" w:rsidP="009D4B7A">
      <w:pPr>
        <w:rPr>
          <w:lang w:val="en-NZ"/>
        </w:rPr>
      </w:pPr>
    </w:p>
    <w:p w14:paraId="129ADC19" w14:textId="77AE7E7C" w:rsidR="009D4B7A" w:rsidRPr="00A147C0" w:rsidRDefault="009D4B7A" w:rsidP="009D4B7A">
      <w:pPr>
        <w:spacing w:after="120"/>
        <w:jc w:val="both"/>
        <w:rPr>
          <w:b/>
          <w:lang w:val="en-NZ" w:eastAsia="ko-KR"/>
        </w:rPr>
      </w:pPr>
      <w:r w:rsidRPr="00A147C0">
        <w:rPr>
          <w:b/>
          <w:lang w:val="en-NZ" w:eastAsia="ko-KR"/>
        </w:rPr>
        <w:t xml:space="preserve">7.1.2 </w:t>
      </w:r>
      <w:r w:rsidRPr="00A147C0">
        <w:rPr>
          <w:b/>
          <w:lang w:val="en-NZ" w:eastAsia="ko-KR"/>
        </w:rPr>
        <w:tab/>
        <w:t>ATU</w:t>
      </w:r>
      <w:r w:rsidR="00A147C0" w:rsidRPr="00A147C0">
        <w:rPr>
          <w:bCs/>
          <w:vertAlign w:val="superscript"/>
          <w:lang w:eastAsia="ja-JP"/>
        </w:rPr>
        <w:footnoteReference w:id="2"/>
      </w:r>
    </w:p>
    <w:p w14:paraId="5AF9B902" w14:textId="77777777" w:rsidR="00A147C0" w:rsidRPr="00A147C0" w:rsidRDefault="00A147C0" w:rsidP="00A147C0">
      <w:pPr>
        <w:pStyle w:val="ListParagraph"/>
        <w:numPr>
          <w:ilvl w:val="0"/>
          <w:numId w:val="12"/>
        </w:numPr>
        <w:jc w:val="both"/>
        <w:rPr>
          <w:rFonts w:eastAsiaTheme="minorEastAsia"/>
          <w:lang w:eastAsia="ja-JP"/>
        </w:rPr>
      </w:pPr>
      <w:r w:rsidRPr="00A147C0">
        <w:rPr>
          <w:rFonts w:eastAsiaTheme="minorEastAsia"/>
          <w:lang w:eastAsia="ja-JP"/>
        </w:rPr>
        <w:t xml:space="preserve">ATU supports the revision of ITU-R Recommendations incorporated by reference in the Radio Regulations communicated by the Radiocommunication Assembly, in accordance with further resolves of Resolution </w:t>
      </w:r>
      <w:r w:rsidRPr="00A147C0">
        <w:rPr>
          <w:rFonts w:eastAsiaTheme="minorEastAsia"/>
          <w:b/>
          <w:lang w:eastAsia="ja-JP"/>
        </w:rPr>
        <w:t>27 (Rev.WRC-19)</w:t>
      </w:r>
      <w:r w:rsidRPr="00A147C0">
        <w:rPr>
          <w:rFonts w:eastAsiaTheme="minorEastAsia"/>
          <w:lang w:eastAsia="ja-JP"/>
        </w:rPr>
        <w:t>, with a view to updating the corresponding references in the Radio Regulations.</w:t>
      </w:r>
    </w:p>
    <w:p w14:paraId="78EFD8BE" w14:textId="77777777" w:rsidR="009D4B7A" w:rsidRPr="00A147C0" w:rsidRDefault="009D4B7A" w:rsidP="009D4B7A">
      <w:pPr>
        <w:rPr>
          <w:b/>
        </w:rPr>
      </w:pPr>
    </w:p>
    <w:p w14:paraId="4E3E82C1" w14:textId="6B512C0D" w:rsidR="009D4B7A" w:rsidRPr="00ED407B"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r>
      <w:r w:rsidRPr="00ED407B">
        <w:rPr>
          <w:b/>
          <w:lang w:val="en-NZ" w:eastAsia="ko-KR"/>
        </w:rPr>
        <w:t xml:space="preserve">CEPT </w:t>
      </w:r>
      <w:r w:rsidRPr="00ED407B">
        <w:t xml:space="preserve">- </w:t>
      </w:r>
      <w:r w:rsidRPr="00ED407B">
        <w:rPr>
          <w:b/>
          <w:lang w:val="en-NZ" w:eastAsia="ko-KR"/>
        </w:rPr>
        <w:t>Document APG23-</w:t>
      </w:r>
      <w:r w:rsidR="006B480A" w:rsidRPr="00ED407B">
        <w:rPr>
          <w:b/>
          <w:lang w:val="en-NZ" w:eastAsia="ko-KR"/>
        </w:rPr>
        <w:t>6</w:t>
      </w:r>
      <w:r w:rsidRPr="00ED407B">
        <w:rPr>
          <w:b/>
          <w:lang w:val="en-NZ" w:eastAsia="ko-KR"/>
        </w:rPr>
        <w:t>/INF-</w:t>
      </w:r>
      <w:r w:rsidR="00FC3513" w:rsidRPr="00ED407B">
        <w:rPr>
          <w:b/>
          <w:lang w:val="en-NZ" w:eastAsia="ko-KR"/>
        </w:rPr>
        <w:t>46</w:t>
      </w:r>
    </w:p>
    <w:p w14:paraId="3A6DD60C" w14:textId="77777777" w:rsidR="00FC3513" w:rsidRPr="00ED407B" w:rsidRDefault="00FC3513" w:rsidP="00037D7A">
      <w:pPr>
        <w:numPr>
          <w:ilvl w:val="0"/>
          <w:numId w:val="18"/>
        </w:numPr>
        <w:rPr>
          <w:lang w:val="en-NZ"/>
        </w:rPr>
      </w:pPr>
      <w:r w:rsidRPr="00ED407B">
        <w:rPr>
          <w:lang w:val="en-NZ"/>
        </w:rPr>
        <w:t>CEPT supports updating the reference(s) in relevant RR provisions of the following ITU-R Recommendation(s):</w:t>
      </w:r>
    </w:p>
    <w:p w14:paraId="22B95C8F" w14:textId="34D90FC1" w:rsidR="00FC3513" w:rsidRPr="00ED407B" w:rsidRDefault="00FC3513" w:rsidP="00037D7A">
      <w:pPr>
        <w:numPr>
          <w:ilvl w:val="1"/>
          <w:numId w:val="18"/>
        </w:numPr>
        <w:rPr>
          <w:lang w:val="en-NZ"/>
        </w:rPr>
      </w:pPr>
      <w:r w:rsidRPr="00ED407B">
        <w:rPr>
          <w:lang w:val="en-NZ"/>
        </w:rPr>
        <w:t>from ITU-R M.585-8 to ITU-R M.585-9</w:t>
      </w:r>
    </w:p>
    <w:p w14:paraId="3C209764" w14:textId="77777777" w:rsidR="00FC3513" w:rsidRPr="00ED407B" w:rsidRDefault="00FC3513" w:rsidP="00037D7A">
      <w:pPr>
        <w:numPr>
          <w:ilvl w:val="0"/>
          <w:numId w:val="18"/>
        </w:numPr>
        <w:rPr>
          <w:lang w:val="en-NZ"/>
        </w:rPr>
      </w:pPr>
      <w:r w:rsidRPr="00ED407B">
        <w:rPr>
          <w:lang w:val="en-NZ"/>
        </w:rPr>
        <w:t xml:space="preserve">CEPT resumes examining the compliance with the principles of Annex 1 to Resolution </w:t>
      </w:r>
      <w:r w:rsidRPr="00ED407B">
        <w:rPr>
          <w:b/>
          <w:bCs/>
          <w:lang w:val="en-NZ"/>
        </w:rPr>
        <w:t xml:space="preserve">27 (Rev. WRC-19) </w:t>
      </w:r>
      <w:r w:rsidRPr="00ED407B">
        <w:rPr>
          <w:lang w:val="en-NZ"/>
        </w:rPr>
        <w:t>of the references to ITU-R Recommendations in the Radio Regulations.</w:t>
      </w:r>
    </w:p>
    <w:p w14:paraId="495CAF12" w14:textId="77777777" w:rsidR="00FC3513" w:rsidRPr="00ED407B" w:rsidRDefault="00FC3513" w:rsidP="00037D7A">
      <w:pPr>
        <w:numPr>
          <w:ilvl w:val="0"/>
          <w:numId w:val="18"/>
        </w:numPr>
        <w:rPr>
          <w:lang w:val="en-NZ"/>
        </w:rPr>
      </w:pPr>
      <w:r w:rsidRPr="00ED407B">
        <w:rPr>
          <w:lang w:val="en-NZ"/>
        </w:rPr>
        <w:t>CEPT supports update of the RR Volume 4 cross-reference list.</w:t>
      </w:r>
    </w:p>
    <w:p w14:paraId="7AEB6034" w14:textId="2A2B887C" w:rsidR="009D4B7A" w:rsidRDefault="009D4B7A" w:rsidP="002C1D47">
      <w:pPr>
        <w:spacing w:after="120"/>
        <w:jc w:val="both"/>
        <w:rPr>
          <w:b/>
          <w:lang w:val="en-NZ" w:eastAsia="ko-KR"/>
        </w:rPr>
      </w:pPr>
    </w:p>
    <w:p w14:paraId="32D6919E" w14:textId="2DE9DBB5" w:rsidR="009D4B7A" w:rsidRPr="00ED407B" w:rsidRDefault="009D4B7A" w:rsidP="009D4B7A">
      <w:pPr>
        <w:spacing w:after="120"/>
        <w:jc w:val="both"/>
        <w:rPr>
          <w:b/>
          <w:lang w:val="en-NZ" w:eastAsia="ko-KR"/>
        </w:rPr>
      </w:pPr>
      <w:r w:rsidRPr="00DC0BD3">
        <w:rPr>
          <w:b/>
          <w:lang w:val="en-NZ" w:eastAsia="ko-KR"/>
        </w:rPr>
        <w:t>7.1.</w:t>
      </w:r>
      <w:r w:rsidR="00C54693" w:rsidRPr="00DC0BD3">
        <w:rPr>
          <w:b/>
          <w:lang w:val="en-NZ" w:eastAsia="ko-KR"/>
        </w:rPr>
        <w:t>4</w:t>
      </w:r>
      <w:r w:rsidRPr="00DC0BD3">
        <w:rPr>
          <w:b/>
          <w:lang w:val="en-NZ" w:eastAsia="ko-KR"/>
        </w:rPr>
        <w:t xml:space="preserve"> </w:t>
      </w:r>
      <w:r w:rsidRPr="00DC0BD3">
        <w:rPr>
          <w:b/>
          <w:lang w:val="en-NZ" w:eastAsia="ko-KR"/>
        </w:rPr>
        <w:tab/>
        <w:t xml:space="preserve">RCC </w:t>
      </w:r>
      <w:r w:rsidRPr="00DC0BD3">
        <w:t>-</w:t>
      </w:r>
      <w:r w:rsidRPr="00ED407B">
        <w:t xml:space="preserve"> </w:t>
      </w:r>
      <w:r w:rsidRPr="00ED407B">
        <w:rPr>
          <w:b/>
          <w:lang w:val="en-NZ" w:eastAsia="ko-KR"/>
        </w:rPr>
        <w:t>Document APG23-</w:t>
      </w:r>
      <w:r w:rsidR="006B480A" w:rsidRPr="00ED407B">
        <w:rPr>
          <w:b/>
          <w:lang w:val="en-NZ" w:eastAsia="ko-KR"/>
        </w:rPr>
        <w:t>6</w:t>
      </w:r>
      <w:r w:rsidRPr="00ED407B">
        <w:rPr>
          <w:b/>
          <w:lang w:val="en-NZ" w:eastAsia="ko-KR"/>
        </w:rPr>
        <w:t>/INF-</w:t>
      </w:r>
      <w:r w:rsidR="00FC3513" w:rsidRPr="00ED407B">
        <w:rPr>
          <w:b/>
          <w:lang w:val="en-NZ" w:eastAsia="ko-KR"/>
        </w:rPr>
        <w:t>45</w:t>
      </w:r>
    </w:p>
    <w:p w14:paraId="1AC82399" w14:textId="77777777" w:rsidR="0095302A" w:rsidRPr="00ED407B" w:rsidRDefault="0095302A" w:rsidP="0095302A">
      <w:pPr>
        <w:numPr>
          <w:ilvl w:val="1"/>
          <w:numId w:val="17"/>
        </w:numPr>
        <w:rPr>
          <w:lang w:val="en-NZ"/>
        </w:rPr>
      </w:pPr>
      <w:r w:rsidRPr="00ED407B">
        <w:rPr>
          <w:lang w:val="en-NZ"/>
        </w:rPr>
        <w:t xml:space="preserve">The RCC Administrations support the principles set out in Resolution </w:t>
      </w:r>
      <w:r w:rsidRPr="00ED407B">
        <w:rPr>
          <w:b/>
          <w:bCs/>
          <w:lang w:val="en-NZ"/>
        </w:rPr>
        <w:t>27(Rev.WRC-19)</w:t>
      </w:r>
      <w:r w:rsidRPr="00ED407B">
        <w:rPr>
          <w:lang w:val="en-NZ"/>
        </w:rPr>
        <w:t>.</w:t>
      </w:r>
    </w:p>
    <w:p w14:paraId="6617D7C3" w14:textId="6935B2B4" w:rsidR="009D4B7A" w:rsidRPr="00ED407B" w:rsidRDefault="0095302A" w:rsidP="0095302A">
      <w:pPr>
        <w:numPr>
          <w:ilvl w:val="1"/>
          <w:numId w:val="17"/>
        </w:numPr>
        <w:rPr>
          <w:lang w:val="en-NZ"/>
        </w:rPr>
      </w:pPr>
      <w:r w:rsidRPr="00ED407B">
        <w:rPr>
          <w:lang w:val="en-NZ"/>
        </w:rPr>
        <w:t>The RCC Administrations have no objection to update reference to the Rec. M.585.</w:t>
      </w:r>
    </w:p>
    <w:p w14:paraId="3BBD382B" w14:textId="77777777" w:rsidR="009D4B7A" w:rsidRPr="00441526" w:rsidRDefault="009D4B7A" w:rsidP="009D4B7A">
      <w:pPr>
        <w:rPr>
          <w:lang w:val="en-NZ"/>
        </w:rPr>
      </w:pPr>
    </w:p>
    <w:p w14:paraId="6520ABC6" w14:textId="77777777" w:rsidR="009D4B7A" w:rsidRPr="00330537" w:rsidRDefault="009D4B7A" w:rsidP="009D4B7A">
      <w:pPr>
        <w:spacing w:after="120"/>
        <w:jc w:val="both"/>
        <w:rPr>
          <w:b/>
          <w:lang w:val="fr-FR" w:eastAsia="ko-KR"/>
        </w:rPr>
      </w:pPr>
      <w:r w:rsidRPr="00472D62">
        <w:rPr>
          <w:b/>
          <w:lang w:val="fr-FR" w:eastAsia="ko-KR"/>
        </w:rPr>
        <w:t xml:space="preserve">7.2 </w:t>
      </w:r>
      <w:r w:rsidRPr="00472D62">
        <w:rPr>
          <w:b/>
          <w:lang w:val="fr-FR" w:eastAsia="ko-KR"/>
        </w:rPr>
        <w:tab/>
        <w:t>Inte</w:t>
      </w:r>
      <w:r w:rsidRPr="00330537">
        <w:rPr>
          <w:b/>
          <w:lang w:val="fr-FR" w:eastAsia="ko-KR"/>
        </w:rPr>
        <w:t>rnational Organisations</w:t>
      </w:r>
    </w:p>
    <w:p w14:paraId="2B3DDB44" w14:textId="5C3873BB" w:rsidR="003C7B59" w:rsidRPr="00330537" w:rsidRDefault="009D4B7A" w:rsidP="00330537">
      <w:pPr>
        <w:spacing w:after="120"/>
        <w:jc w:val="both"/>
        <w:rPr>
          <w:lang w:val="en-NZ"/>
        </w:rPr>
      </w:pPr>
      <w:r w:rsidRPr="00330537">
        <w:rPr>
          <w:b/>
          <w:lang w:val="fr-FR" w:eastAsia="ko-KR"/>
        </w:rPr>
        <w:t xml:space="preserve">7.2.1 </w:t>
      </w:r>
      <w:r w:rsidRPr="00330537">
        <w:rPr>
          <w:b/>
          <w:lang w:val="fr-FR" w:eastAsia="ko-KR"/>
        </w:rPr>
        <w:tab/>
      </w:r>
      <w:r w:rsidR="003C7B59" w:rsidRPr="00330537">
        <w:rPr>
          <w:rFonts w:eastAsiaTheme="minorEastAsia"/>
          <w:b/>
          <w:lang w:eastAsia="ja-JP"/>
        </w:rPr>
        <w:t>IMO</w:t>
      </w:r>
      <w:r w:rsidR="003C7B59" w:rsidRPr="00330537">
        <w:rPr>
          <w:rFonts w:eastAsiaTheme="minorEastAsia"/>
          <w:b/>
          <w:bCs/>
          <w:vertAlign w:val="superscript"/>
          <w:lang w:eastAsia="ja-JP"/>
        </w:rPr>
        <w:footnoteReference w:id="3"/>
      </w:r>
    </w:p>
    <w:p w14:paraId="7F118815" w14:textId="77777777" w:rsidR="003C7B59" w:rsidRPr="00330537" w:rsidRDefault="003C7B59" w:rsidP="00C406EE">
      <w:pPr>
        <w:jc w:val="both"/>
        <w:rPr>
          <w:rFonts w:eastAsiaTheme="minorEastAsia"/>
          <w:lang w:eastAsia="ja-JP"/>
        </w:rPr>
      </w:pPr>
      <w:r w:rsidRPr="00330537">
        <w:rPr>
          <w:rFonts w:eastAsiaTheme="minorEastAsia"/>
          <w:lang w:eastAsia="ja-JP"/>
        </w:rPr>
        <w:t>IMO has studied the Recommendations of relevance and commented on the following IBRs.</w:t>
      </w:r>
    </w:p>
    <w:p w14:paraId="5E9E794D" w14:textId="77777777" w:rsidR="003C7B59" w:rsidRPr="00330537" w:rsidRDefault="003C7B59" w:rsidP="003C7B59">
      <w:pPr>
        <w:numPr>
          <w:ilvl w:val="0"/>
          <w:numId w:val="23"/>
        </w:numPr>
        <w:jc w:val="both"/>
        <w:rPr>
          <w:rFonts w:eastAsiaTheme="minorEastAsia"/>
          <w:lang w:eastAsia="ja-JP"/>
        </w:rPr>
      </w:pPr>
      <w:r w:rsidRPr="00330537">
        <w:rPr>
          <w:rFonts w:eastAsiaTheme="minorEastAsia" w:hint="eastAsia"/>
          <w:lang w:eastAsia="ja-JP"/>
        </w:rPr>
        <w:t>R</w:t>
      </w:r>
      <w:r w:rsidRPr="00330537">
        <w:rPr>
          <w:rFonts w:eastAsiaTheme="minorEastAsia"/>
          <w:lang w:eastAsia="ja-JP"/>
        </w:rPr>
        <w:t>equired/needed: M.476-5, M.489-2, M.492-6, M.541-10, M.585-9, M.625-4, M.690-3, M.1171-0, M.1172-0, M.1173-1, M.1174-4</w:t>
      </w:r>
    </w:p>
    <w:p w14:paraId="00A05991" w14:textId="77777777" w:rsidR="003C7B59" w:rsidRPr="00330537" w:rsidRDefault="003C7B59" w:rsidP="003C7B59">
      <w:pPr>
        <w:numPr>
          <w:ilvl w:val="0"/>
          <w:numId w:val="23"/>
        </w:numPr>
        <w:jc w:val="both"/>
        <w:rPr>
          <w:rFonts w:eastAsiaTheme="minorEastAsia"/>
          <w:lang w:eastAsia="ja-JP"/>
        </w:rPr>
      </w:pPr>
      <w:r w:rsidRPr="00330537">
        <w:rPr>
          <w:rFonts w:eastAsiaTheme="minorEastAsia" w:hint="eastAsia"/>
          <w:lang w:eastAsia="ja-JP"/>
        </w:rPr>
        <w:t>U</w:t>
      </w:r>
      <w:r w:rsidRPr="00330537">
        <w:rPr>
          <w:rFonts w:eastAsiaTheme="minorEastAsia"/>
          <w:lang w:eastAsia="ja-JP"/>
        </w:rPr>
        <w:t>sed: M.1084-5, M.633-4,</w:t>
      </w:r>
    </w:p>
    <w:p w14:paraId="2298B3F1" w14:textId="77777777" w:rsidR="003C7B59" w:rsidRPr="00330537" w:rsidRDefault="003C7B59" w:rsidP="003C7B59">
      <w:pPr>
        <w:numPr>
          <w:ilvl w:val="0"/>
          <w:numId w:val="23"/>
        </w:numPr>
        <w:jc w:val="both"/>
        <w:rPr>
          <w:rFonts w:eastAsiaTheme="minorEastAsia"/>
          <w:lang w:eastAsia="ja-JP"/>
        </w:rPr>
      </w:pPr>
      <w:r w:rsidRPr="00330537">
        <w:rPr>
          <w:rFonts w:eastAsiaTheme="minorEastAsia" w:hint="eastAsia"/>
          <w:lang w:eastAsia="ja-JP"/>
        </w:rPr>
        <w:t>N</w:t>
      </w:r>
      <w:r w:rsidRPr="00330537">
        <w:rPr>
          <w:rFonts w:eastAsiaTheme="minorEastAsia"/>
          <w:lang w:eastAsia="ja-JP"/>
        </w:rPr>
        <w:t>ot required by IMO but may be required by the maritime community: M.1638-1</w:t>
      </w:r>
    </w:p>
    <w:p w14:paraId="573BFB18" w14:textId="77777777" w:rsidR="003C7B59" w:rsidRPr="00330537" w:rsidRDefault="003C7B59" w:rsidP="003C7B59">
      <w:pPr>
        <w:jc w:val="both"/>
        <w:rPr>
          <w:rFonts w:eastAsiaTheme="minorEastAsia"/>
          <w:lang w:eastAsia="ja-JP"/>
        </w:rPr>
      </w:pPr>
    </w:p>
    <w:p w14:paraId="331CA531" w14:textId="77777777" w:rsidR="003C7B59" w:rsidRPr="00330537" w:rsidRDefault="003C7B59" w:rsidP="003C7B59">
      <w:pPr>
        <w:jc w:val="both"/>
        <w:rPr>
          <w:rFonts w:eastAsiaTheme="minorEastAsia"/>
          <w:lang w:eastAsia="ja-JP"/>
        </w:rPr>
      </w:pPr>
      <w:r w:rsidRPr="00330537">
        <w:rPr>
          <w:rFonts w:eastAsiaTheme="minorEastAsia"/>
          <w:lang w:eastAsia="ja-JP"/>
        </w:rPr>
        <w:lastRenderedPageBreak/>
        <w:t>2</w:t>
      </w:r>
      <w:r w:rsidRPr="00330537">
        <w:rPr>
          <w:rFonts w:eastAsiaTheme="minorEastAsia"/>
          <w:lang w:eastAsia="ja-JP"/>
        </w:rPr>
        <w:tab/>
        <w:t>Incorporation by reference is of importance to IMO because of the close relationship between many of the ITU-R Recommendations related to GMDSS equipment and its operation to IMO performance standards.</w:t>
      </w:r>
    </w:p>
    <w:p w14:paraId="6CFA264F" w14:textId="77777777" w:rsidR="003C7B59" w:rsidRPr="00330537" w:rsidRDefault="003C7B59" w:rsidP="003C7B59">
      <w:pPr>
        <w:jc w:val="both"/>
        <w:rPr>
          <w:rFonts w:eastAsiaTheme="minorEastAsia"/>
          <w:lang w:eastAsia="ja-JP"/>
        </w:rPr>
      </w:pPr>
    </w:p>
    <w:p w14:paraId="539C98EA" w14:textId="77777777" w:rsidR="003C7B59" w:rsidRDefault="003C7B59" w:rsidP="003C7B59">
      <w:pPr>
        <w:jc w:val="both"/>
        <w:rPr>
          <w:rFonts w:eastAsiaTheme="minorEastAsia"/>
          <w:lang w:eastAsia="ja-JP"/>
        </w:rPr>
      </w:pPr>
      <w:r w:rsidRPr="00330537">
        <w:rPr>
          <w:rFonts w:eastAsiaTheme="minorEastAsia"/>
          <w:lang w:eastAsia="ja-JP"/>
        </w:rPr>
        <w:t>3</w:t>
      </w:r>
      <w:r w:rsidRPr="00330537">
        <w:rPr>
          <w:rFonts w:eastAsiaTheme="minorEastAsia"/>
          <w:lang w:eastAsia="ja-JP"/>
        </w:rPr>
        <w:tab/>
        <w:t>IMO requests the early indication of any changes proposed by ITU to the mechanism of incorporation by reference and to the list of incorporated Recommendations.</w:t>
      </w:r>
    </w:p>
    <w:p w14:paraId="6A1C5CEB" w14:textId="77777777" w:rsidR="00D348CC" w:rsidRPr="003C7B59" w:rsidRDefault="00D348CC" w:rsidP="003C7B59">
      <w:pPr>
        <w:jc w:val="both"/>
        <w:rPr>
          <w:rFonts w:eastAsiaTheme="minorEastAsia"/>
          <w:lang w:eastAsia="ja-JP"/>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83A1" w14:textId="77777777" w:rsidR="00D3505E" w:rsidRDefault="00D3505E">
      <w:r>
        <w:separator/>
      </w:r>
    </w:p>
  </w:endnote>
  <w:endnote w:type="continuationSeparator" w:id="0">
    <w:p w14:paraId="75B4313B" w14:textId="77777777" w:rsidR="00D3505E" w:rsidRDefault="00D3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IZ UDPGothic">
    <w:altName w:val="Yu Gothic"/>
    <w:charset w:val="80"/>
    <w:family w:val="modern"/>
    <w:pitch w:val="variable"/>
    <w:sig w:usb0="E00002F7" w:usb1="2AC7EDF8" w:usb2="00000012" w:usb3="00000000" w:csb0="00020001"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3412C39F"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8E2A66">
      <w:rPr>
        <w:rStyle w:val="PageNumber"/>
      </w:rPr>
      <w:t>OUT</w:t>
    </w:r>
    <w:r>
      <w:rPr>
        <w:rStyle w:val="PageNumber"/>
      </w:rPr>
      <w:t>-</w:t>
    </w:r>
    <w:r w:rsidR="005622BF">
      <w:rPr>
        <w:rStyle w:val="PageNumber"/>
      </w:rPr>
      <w:t>32</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359A48DB" w14:textId="77777777" w:rsidR="00E639BA" w:rsidRDefault="002F296E" w:rsidP="007E7497">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Mohammad Taghi Shafiee (IRN)</w:t>
          </w:r>
        </w:p>
        <w:p w14:paraId="736EA230" w14:textId="5191C21C" w:rsidR="002F296E" w:rsidRDefault="002F296E" w:rsidP="007E7497">
          <w:pPr>
            <w:pStyle w:val="Equation"/>
            <w:tabs>
              <w:tab w:val="clear" w:pos="794"/>
              <w:tab w:val="clear" w:pos="4820"/>
              <w:tab w:val="clear" w:pos="9639"/>
            </w:tabs>
            <w:spacing w:beforeLines="0"/>
            <w:rPr>
              <w:rFonts w:eastAsia="Batang"/>
            </w:rPr>
          </w:pPr>
          <w:r>
            <w:rPr>
              <w:rFonts w:eastAsia="Batang"/>
            </w:rPr>
            <w:t>Chairman, WP5</w:t>
          </w:r>
        </w:p>
      </w:tc>
      <w:tc>
        <w:tcPr>
          <w:tcW w:w="3024" w:type="dxa"/>
        </w:tcPr>
        <w:p w14:paraId="7650FF59" w14:textId="5111D4B7" w:rsidR="007E7497" w:rsidRDefault="007E7497" w:rsidP="00E23D98">
          <w:pPr>
            <w:rPr>
              <w:lang w:eastAsia="ja-JP"/>
            </w:rPr>
          </w:pPr>
          <w:r>
            <w:t>Email</w:t>
          </w:r>
          <w:r>
            <w:rPr>
              <w:rFonts w:hint="eastAsia"/>
            </w:rPr>
            <w:t xml:space="preserve">: </w:t>
          </w:r>
          <w:hyperlink r:id="rId1" w:history="1">
            <w:r w:rsidR="002F296E" w:rsidRPr="007E16B9">
              <w:rPr>
                <w:rStyle w:val="Hyperlink"/>
                <w:lang w:eastAsia="ja-JP"/>
              </w:rPr>
              <w:t>shafiee@cra.ir</w:t>
            </w:r>
          </w:hyperlink>
          <w:r w:rsidR="002F296E">
            <w:rPr>
              <w:lang w:eastAsia="ja-JP"/>
            </w:rPr>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6DD0" w14:textId="77777777" w:rsidR="00D3505E" w:rsidRDefault="00D3505E">
      <w:r>
        <w:separator/>
      </w:r>
    </w:p>
  </w:footnote>
  <w:footnote w:type="continuationSeparator" w:id="0">
    <w:p w14:paraId="4F3D44BF" w14:textId="77777777" w:rsidR="00D3505E" w:rsidRDefault="00D3505E">
      <w:r>
        <w:continuationSeparator/>
      </w:r>
    </w:p>
  </w:footnote>
  <w:footnote w:id="1">
    <w:p w14:paraId="615DD0BA" w14:textId="77777777" w:rsidR="00A147C0" w:rsidRPr="003B691A" w:rsidRDefault="00A147C0" w:rsidP="00A147C0">
      <w:pPr>
        <w:pStyle w:val="FootnoteText"/>
        <w:rPr>
          <w:rFonts w:eastAsia="MS Mincho"/>
          <w:lang w:eastAsia="ja-JP"/>
        </w:rPr>
      </w:pPr>
      <w:r>
        <w:rPr>
          <w:rStyle w:val="FootnoteReference"/>
        </w:rPr>
        <w:footnoteRef/>
      </w:r>
      <w:r w:rsidRPr="003B691A">
        <w:t xml:space="preserve"> </w:t>
      </w:r>
      <w:r>
        <w:t xml:space="preserve">Document </w:t>
      </w:r>
      <w:hyperlink r:id="rId1" w:history="1">
        <w:r w:rsidRPr="00CF77B8">
          <w:rPr>
            <w:rStyle w:val="Hyperlink"/>
          </w:rPr>
          <w:t>WRC-23-IRW-22/5</w:t>
        </w:r>
      </w:hyperlink>
      <w:r w:rsidRPr="00A5242A">
        <w:t xml:space="preserve"> (</w:t>
      </w:r>
      <w:r>
        <w:t>November 2022)</w:t>
      </w:r>
    </w:p>
  </w:footnote>
  <w:footnote w:id="2">
    <w:p w14:paraId="7AA3C44C" w14:textId="77777777" w:rsidR="00A147C0" w:rsidRPr="00AD7B7D" w:rsidRDefault="00A147C0" w:rsidP="00A147C0">
      <w:pPr>
        <w:pStyle w:val="FootnoteText"/>
        <w:rPr>
          <w:rFonts w:eastAsia="MS Mincho"/>
          <w:lang w:eastAsia="ja-JP"/>
        </w:rPr>
      </w:pPr>
      <w:r>
        <w:rPr>
          <w:rStyle w:val="FootnoteReference"/>
        </w:rPr>
        <w:footnoteRef/>
      </w:r>
      <w:r>
        <w:t xml:space="preserve"> Document </w:t>
      </w:r>
      <w:hyperlink r:id="rId2" w:history="1">
        <w:r w:rsidRPr="00CF77B8">
          <w:rPr>
            <w:rStyle w:val="Hyperlink"/>
          </w:rPr>
          <w:t>WRC-23-IRW-22/2</w:t>
        </w:r>
      </w:hyperlink>
      <w:r w:rsidRPr="00A5242A">
        <w:t xml:space="preserve"> (</w:t>
      </w:r>
      <w:r>
        <w:t>November 2022)</w:t>
      </w:r>
    </w:p>
  </w:footnote>
  <w:footnote w:id="3">
    <w:p w14:paraId="378BFD00" w14:textId="77777777" w:rsidR="003C7B59" w:rsidRPr="00B70FDE" w:rsidRDefault="003C7B59" w:rsidP="003C7B59">
      <w:pPr>
        <w:pStyle w:val="FootnoteText"/>
        <w:rPr>
          <w:rFonts w:eastAsia="MS Mincho"/>
          <w:lang w:eastAsia="ja-JP"/>
        </w:rPr>
      </w:pPr>
      <w:r>
        <w:rPr>
          <w:rStyle w:val="FootnoteReference"/>
        </w:rPr>
        <w:footnoteRef/>
      </w:r>
      <w:r>
        <w:t xml:space="preserve"> Document </w:t>
      </w:r>
      <w:hyperlink r:id="rId3" w:history="1">
        <w:r w:rsidRPr="007A49CF">
          <w:rPr>
            <w:rStyle w:val="Hyperlink"/>
          </w:rPr>
          <w:t>CPM23-2/2</w:t>
        </w:r>
      </w:hyperlink>
      <w:r>
        <w:t xml:space="preserve"> (December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3B8"/>
    <w:multiLevelType w:val="multilevel"/>
    <w:tmpl w:val="0BB253B8"/>
    <w:lvl w:ilvl="0">
      <w:start w:val="1"/>
      <w:numFmt w:val="bullet"/>
      <w:lvlText w:val=""/>
      <w:lvlJc w:val="left"/>
      <w:pPr>
        <w:ind w:left="360" w:hanging="360"/>
      </w:pPr>
      <w:rPr>
        <w:rFonts w:ascii="Wingdings" w:hAnsi="Wingding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4B720B3"/>
    <w:multiLevelType w:val="hybridMultilevel"/>
    <w:tmpl w:val="FE1AB746"/>
    <w:lvl w:ilvl="0" w:tplc="30DE15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E07ACD"/>
    <w:multiLevelType w:val="hybridMultilevel"/>
    <w:tmpl w:val="A3DCD4BA"/>
    <w:lvl w:ilvl="0" w:tplc="8974BCE2">
      <w:start w:val="1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3C27556E"/>
    <w:multiLevelType w:val="hybridMultilevel"/>
    <w:tmpl w:val="18FCC3C4"/>
    <w:lvl w:ilvl="0" w:tplc="B4F247EE">
      <w:start w:val="1"/>
      <w:numFmt w:val="bullet"/>
      <w:lvlText w:val="-"/>
      <w:lvlJc w:val="left"/>
      <w:pPr>
        <w:ind w:left="420" w:hanging="420"/>
      </w:pPr>
      <w:rPr>
        <w:rFonts w:ascii="BIZ UDPGothic" w:eastAsia="BIZ UDPGothic" w:hAnsi="BIZ UDPGothic" w:hint="eastAsia"/>
      </w:rPr>
    </w:lvl>
    <w:lvl w:ilvl="1" w:tplc="C142A9A8">
      <w:numFmt w:val="bullet"/>
      <w:lvlText w:val="•"/>
      <w:lvlJc w:val="left"/>
      <w:pPr>
        <w:ind w:left="780" w:hanging="360"/>
      </w:pPr>
      <w:rPr>
        <w:rFonts w:ascii="BatangChe" w:eastAsia="BatangChe" w:hAnsi="BatangChe"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4E20F5"/>
    <w:multiLevelType w:val="hybridMultilevel"/>
    <w:tmpl w:val="C81C95FE"/>
    <w:lvl w:ilvl="0" w:tplc="FFFFFFFF">
      <w:start w:val="1"/>
      <w:numFmt w:val="bullet"/>
      <w:lvlText w:val="-"/>
      <w:lvlJc w:val="left"/>
      <w:pPr>
        <w:ind w:left="280" w:hanging="360"/>
      </w:pPr>
      <w:rPr>
        <w:rFonts w:ascii="Malgun Gothic" w:eastAsia="Malgun Gothic" w:hAnsi="Malgun Gothic" w:cstheme="minorBidi" w:hint="eastAsia"/>
      </w:rPr>
    </w:lvl>
    <w:lvl w:ilvl="1" w:tplc="B4F247EE">
      <w:start w:val="1"/>
      <w:numFmt w:val="bullet"/>
      <w:lvlText w:val="-"/>
      <w:lvlJc w:val="left"/>
      <w:pPr>
        <w:ind w:left="760" w:hanging="440"/>
      </w:pPr>
      <w:rPr>
        <w:rFonts w:ascii="BIZ UDPGothic" w:eastAsia="BIZ UDPGothic" w:hAnsi="BIZ UDPGothic" w:hint="eastAsia"/>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4" w15:restartNumberingAfterBreak="0">
    <w:nsid w:val="4FFB12DC"/>
    <w:multiLevelType w:val="hybridMultilevel"/>
    <w:tmpl w:val="4838F3C4"/>
    <w:lvl w:ilvl="0" w:tplc="FFFFFFFF">
      <w:start w:val="1"/>
      <w:numFmt w:val="bullet"/>
      <w:lvlText w:val="-"/>
      <w:lvlJc w:val="left"/>
      <w:pPr>
        <w:ind w:left="280" w:hanging="360"/>
      </w:pPr>
      <w:rPr>
        <w:rFonts w:ascii="Malgun Gothic" w:eastAsia="Malgun Gothic" w:hAnsi="Malgun Gothic" w:cstheme="minorBidi" w:hint="eastAsia"/>
      </w:rPr>
    </w:lvl>
    <w:lvl w:ilvl="1" w:tplc="B4F247EE">
      <w:start w:val="1"/>
      <w:numFmt w:val="bullet"/>
      <w:lvlText w:val="-"/>
      <w:lvlJc w:val="left"/>
      <w:pPr>
        <w:ind w:left="760" w:hanging="440"/>
      </w:pPr>
      <w:rPr>
        <w:rFonts w:ascii="BIZ UDPGothic" w:eastAsia="BIZ UDPGothic" w:hAnsi="BIZ UDPGothic" w:hint="eastAsia"/>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5" w15:restartNumberingAfterBreak="0">
    <w:nsid w:val="63061DB6"/>
    <w:multiLevelType w:val="hybridMultilevel"/>
    <w:tmpl w:val="F4948B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FA44202"/>
    <w:multiLevelType w:val="hybridMultilevel"/>
    <w:tmpl w:val="1FEC12C4"/>
    <w:lvl w:ilvl="0" w:tplc="B4F247EE">
      <w:start w:val="1"/>
      <w:numFmt w:val="bullet"/>
      <w:lvlText w:val="-"/>
      <w:lvlJc w:val="left"/>
      <w:pPr>
        <w:ind w:left="1160" w:hanging="440"/>
      </w:pPr>
      <w:rPr>
        <w:rFonts w:ascii="BIZ UDPGothic" w:eastAsia="BIZ UDPGothic" w:hAnsi="BIZ UDPGothic"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7" w15:restartNumberingAfterBreak="0">
    <w:nsid w:val="6FE14D42"/>
    <w:multiLevelType w:val="hybridMultilevel"/>
    <w:tmpl w:val="4AAE6D88"/>
    <w:lvl w:ilvl="0" w:tplc="04090003">
      <w:start w:val="1"/>
      <w:numFmt w:val="bullet"/>
      <w:lvlText w:val="o"/>
      <w:lvlJc w:val="left"/>
      <w:pPr>
        <w:ind w:left="1600" w:hanging="440"/>
      </w:pPr>
      <w:rPr>
        <w:rFonts w:ascii="Courier New" w:hAnsi="Courier New" w:cs="Courier New" w:hint="default"/>
      </w:rPr>
    </w:lvl>
    <w:lvl w:ilvl="1" w:tplc="FFFFFFFF" w:tentative="1">
      <w:start w:val="1"/>
      <w:numFmt w:val="bullet"/>
      <w:lvlText w:val=""/>
      <w:lvlJc w:val="left"/>
      <w:pPr>
        <w:ind w:left="2040" w:hanging="440"/>
      </w:pPr>
      <w:rPr>
        <w:rFonts w:ascii="Wingdings" w:hAnsi="Wingdings" w:hint="default"/>
      </w:rPr>
    </w:lvl>
    <w:lvl w:ilvl="2" w:tplc="FFFFFFFF" w:tentative="1">
      <w:start w:val="1"/>
      <w:numFmt w:val="bullet"/>
      <w:lvlText w:val=""/>
      <w:lvlJc w:val="left"/>
      <w:pPr>
        <w:ind w:left="2480" w:hanging="440"/>
      </w:pPr>
      <w:rPr>
        <w:rFonts w:ascii="Wingdings" w:hAnsi="Wingdings" w:hint="default"/>
      </w:rPr>
    </w:lvl>
    <w:lvl w:ilvl="3" w:tplc="FFFFFFFF" w:tentative="1">
      <w:start w:val="1"/>
      <w:numFmt w:val="bullet"/>
      <w:lvlText w:val=""/>
      <w:lvlJc w:val="left"/>
      <w:pPr>
        <w:ind w:left="2920" w:hanging="440"/>
      </w:pPr>
      <w:rPr>
        <w:rFonts w:ascii="Wingdings" w:hAnsi="Wingdings" w:hint="default"/>
      </w:rPr>
    </w:lvl>
    <w:lvl w:ilvl="4" w:tplc="FFFFFFFF" w:tentative="1">
      <w:start w:val="1"/>
      <w:numFmt w:val="bullet"/>
      <w:lvlText w:val=""/>
      <w:lvlJc w:val="left"/>
      <w:pPr>
        <w:ind w:left="3360" w:hanging="440"/>
      </w:pPr>
      <w:rPr>
        <w:rFonts w:ascii="Wingdings" w:hAnsi="Wingdings" w:hint="default"/>
      </w:rPr>
    </w:lvl>
    <w:lvl w:ilvl="5" w:tplc="FFFFFFFF" w:tentative="1">
      <w:start w:val="1"/>
      <w:numFmt w:val="bullet"/>
      <w:lvlText w:val=""/>
      <w:lvlJc w:val="left"/>
      <w:pPr>
        <w:ind w:left="3800" w:hanging="440"/>
      </w:pPr>
      <w:rPr>
        <w:rFonts w:ascii="Wingdings" w:hAnsi="Wingdings" w:hint="default"/>
      </w:rPr>
    </w:lvl>
    <w:lvl w:ilvl="6" w:tplc="FFFFFFFF" w:tentative="1">
      <w:start w:val="1"/>
      <w:numFmt w:val="bullet"/>
      <w:lvlText w:val=""/>
      <w:lvlJc w:val="left"/>
      <w:pPr>
        <w:ind w:left="4240" w:hanging="440"/>
      </w:pPr>
      <w:rPr>
        <w:rFonts w:ascii="Wingdings" w:hAnsi="Wingdings" w:hint="default"/>
      </w:rPr>
    </w:lvl>
    <w:lvl w:ilvl="7" w:tplc="FFFFFFFF" w:tentative="1">
      <w:start w:val="1"/>
      <w:numFmt w:val="bullet"/>
      <w:lvlText w:val=""/>
      <w:lvlJc w:val="left"/>
      <w:pPr>
        <w:ind w:left="4680" w:hanging="440"/>
      </w:pPr>
      <w:rPr>
        <w:rFonts w:ascii="Wingdings" w:hAnsi="Wingdings" w:hint="default"/>
      </w:rPr>
    </w:lvl>
    <w:lvl w:ilvl="8" w:tplc="FFFFFFFF" w:tentative="1">
      <w:start w:val="1"/>
      <w:numFmt w:val="bullet"/>
      <w:lvlText w:val=""/>
      <w:lvlJc w:val="left"/>
      <w:pPr>
        <w:ind w:left="5120" w:hanging="44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B3A7F"/>
    <w:multiLevelType w:val="hybridMultilevel"/>
    <w:tmpl w:val="B3C6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C54645F"/>
    <w:multiLevelType w:val="hybridMultilevel"/>
    <w:tmpl w:val="E126F4BC"/>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20" w:hanging="400"/>
      </w:pPr>
      <w:rPr>
        <w:rFonts w:ascii="Wingdings" w:hAnsi="Wingdings" w:hint="default"/>
      </w:rPr>
    </w:lvl>
    <w:lvl w:ilvl="2" w:tplc="04090001">
      <w:start w:val="1"/>
      <w:numFmt w:val="bullet"/>
      <w:lvlText w:val=""/>
      <w:lvlJc w:val="left"/>
      <w:pPr>
        <w:ind w:left="1160" w:hanging="440"/>
      </w:pPr>
      <w:rPr>
        <w:rFonts w:ascii="Symbol" w:hAnsi="Symbol"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num w:numId="1" w16cid:durableId="38600895">
    <w:abstractNumId w:val="9"/>
  </w:num>
  <w:num w:numId="2" w16cid:durableId="982655488">
    <w:abstractNumId w:val="5"/>
  </w:num>
  <w:num w:numId="3" w16cid:durableId="327054919">
    <w:abstractNumId w:val="4"/>
  </w:num>
  <w:num w:numId="4" w16cid:durableId="1749839847">
    <w:abstractNumId w:val="18"/>
  </w:num>
  <w:num w:numId="5" w16cid:durableId="706487749">
    <w:abstractNumId w:val="6"/>
  </w:num>
  <w:num w:numId="6" w16cid:durableId="959647247">
    <w:abstractNumId w:val="10"/>
  </w:num>
  <w:num w:numId="7" w16cid:durableId="1998337165">
    <w:abstractNumId w:val="3"/>
  </w:num>
  <w:num w:numId="8" w16cid:durableId="857088261">
    <w:abstractNumId w:val="2"/>
  </w:num>
  <w:num w:numId="9" w16cid:durableId="1240335802">
    <w:abstractNumId w:val="21"/>
  </w:num>
  <w:num w:numId="10" w16cid:durableId="415399682">
    <w:abstractNumId w:val="0"/>
  </w:num>
  <w:num w:numId="11" w16cid:durableId="305283694">
    <w:abstractNumId w:val="19"/>
  </w:num>
  <w:num w:numId="12" w16cid:durableId="185944546">
    <w:abstractNumId w:val="11"/>
  </w:num>
  <w:num w:numId="13" w16cid:durableId="618493682">
    <w:abstractNumId w:val="15"/>
  </w:num>
  <w:num w:numId="14" w16cid:durableId="169682021">
    <w:abstractNumId w:val="20"/>
  </w:num>
  <w:num w:numId="15" w16cid:durableId="2108037540">
    <w:abstractNumId w:val="17"/>
  </w:num>
  <w:num w:numId="16" w16cid:durableId="1419711142">
    <w:abstractNumId w:val="22"/>
  </w:num>
  <w:num w:numId="17" w16cid:durableId="409078279">
    <w:abstractNumId w:val="13"/>
  </w:num>
  <w:num w:numId="18" w16cid:durableId="1157955974">
    <w:abstractNumId w:val="14"/>
  </w:num>
  <w:num w:numId="19" w16cid:durableId="1169053092">
    <w:abstractNumId w:val="8"/>
  </w:num>
  <w:num w:numId="20" w16cid:durableId="792745209">
    <w:abstractNumId w:val="1"/>
  </w:num>
  <w:num w:numId="21" w16cid:durableId="880435268">
    <w:abstractNumId w:val="7"/>
  </w:num>
  <w:num w:numId="22" w16cid:durableId="1702974852">
    <w:abstractNumId w:val="12"/>
  </w:num>
  <w:num w:numId="23" w16cid:durableId="2029872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24AE"/>
    <w:rsid w:val="0003595B"/>
    <w:rsid w:val="00037D7A"/>
    <w:rsid w:val="000425F4"/>
    <w:rsid w:val="00056575"/>
    <w:rsid w:val="00066CF9"/>
    <w:rsid w:val="00070454"/>
    <w:rsid w:val="00070E17"/>
    <w:rsid w:val="000713CF"/>
    <w:rsid w:val="00075C14"/>
    <w:rsid w:val="00094B87"/>
    <w:rsid w:val="000A5418"/>
    <w:rsid w:val="000B1E8C"/>
    <w:rsid w:val="000B595C"/>
    <w:rsid w:val="000C2E20"/>
    <w:rsid w:val="000D7367"/>
    <w:rsid w:val="000D7C75"/>
    <w:rsid w:val="000E69B3"/>
    <w:rsid w:val="000E702D"/>
    <w:rsid w:val="000F517C"/>
    <w:rsid w:val="000F5540"/>
    <w:rsid w:val="00104039"/>
    <w:rsid w:val="001214D2"/>
    <w:rsid w:val="0012796C"/>
    <w:rsid w:val="00130A94"/>
    <w:rsid w:val="00133947"/>
    <w:rsid w:val="0014355A"/>
    <w:rsid w:val="001539DD"/>
    <w:rsid w:val="00164353"/>
    <w:rsid w:val="00196568"/>
    <w:rsid w:val="001A2F16"/>
    <w:rsid w:val="001A7830"/>
    <w:rsid w:val="001B18C2"/>
    <w:rsid w:val="001C0EF3"/>
    <w:rsid w:val="001D20DD"/>
    <w:rsid w:val="001D494E"/>
    <w:rsid w:val="001D5D7E"/>
    <w:rsid w:val="001D5E6A"/>
    <w:rsid w:val="001E374C"/>
    <w:rsid w:val="001F5947"/>
    <w:rsid w:val="0021588B"/>
    <w:rsid w:val="00217D48"/>
    <w:rsid w:val="002216AC"/>
    <w:rsid w:val="002219FD"/>
    <w:rsid w:val="00230738"/>
    <w:rsid w:val="00234ACE"/>
    <w:rsid w:val="00240CC9"/>
    <w:rsid w:val="002419C1"/>
    <w:rsid w:val="00241BCF"/>
    <w:rsid w:val="0024204B"/>
    <w:rsid w:val="0024209D"/>
    <w:rsid w:val="00254A1B"/>
    <w:rsid w:val="00270086"/>
    <w:rsid w:val="0028454D"/>
    <w:rsid w:val="00286912"/>
    <w:rsid w:val="00291C9E"/>
    <w:rsid w:val="002926D4"/>
    <w:rsid w:val="00293CBC"/>
    <w:rsid w:val="002A6AAD"/>
    <w:rsid w:val="002B48D7"/>
    <w:rsid w:val="002C07DA"/>
    <w:rsid w:val="002C14F8"/>
    <w:rsid w:val="002C1D47"/>
    <w:rsid w:val="002C520E"/>
    <w:rsid w:val="002C7BFB"/>
    <w:rsid w:val="002C7EA9"/>
    <w:rsid w:val="002F296E"/>
    <w:rsid w:val="002F4AE0"/>
    <w:rsid w:val="0030054E"/>
    <w:rsid w:val="003058B3"/>
    <w:rsid w:val="00330537"/>
    <w:rsid w:val="00342F20"/>
    <w:rsid w:val="00343067"/>
    <w:rsid w:val="00346332"/>
    <w:rsid w:val="003536DA"/>
    <w:rsid w:val="003540E0"/>
    <w:rsid w:val="003548C2"/>
    <w:rsid w:val="00366A36"/>
    <w:rsid w:val="003809C7"/>
    <w:rsid w:val="003A4630"/>
    <w:rsid w:val="003A6A39"/>
    <w:rsid w:val="003B03B2"/>
    <w:rsid w:val="003B6263"/>
    <w:rsid w:val="003B6750"/>
    <w:rsid w:val="003C2171"/>
    <w:rsid w:val="003C64A7"/>
    <w:rsid w:val="003C7B59"/>
    <w:rsid w:val="003D25E1"/>
    <w:rsid w:val="003D38FC"/>
    <w:rsid w:val="003D3FDA"/>
    <w:rsid w:val="0041367A"/>
    <w:rsid w:val="00420822"/>
    <w:rsid w:val="00444170"/>
    <w:rsid w:val="004523AA"/>
    <w:rsid w:val="0045458F"/>
    <w:rsid w:val="004633B4"/>
    <w:rsid w:val="00472D62"/>
    <w:rsid w:val="004854EE"/>
    <w:rsid w:val="004B3138"/>
    <w:rsid w:val="004B3553"/>
    <w:rsid w:val="004D2897"/>
    <w:rsid w:val="004F1C42"/>
    <w:rsid w:val="00510276"/>
    <w:rsid w:val="00530E8C"/>
    <w:rsid w:val="00544D55"/>
    <w:rsid w:val="00545933"/>
    <w:rsid w:val="0054610B"/>
    <w:rsid w:val="00557544"/>
    <w:rsid w:val="005606F6"/>
    <w:rsid w:val="005622BF"/>
    <w:rsid w:val="00575A5B"/>
    <w:rsid w:val="00577C0A"/>
    <w:rsid w:val="00582167"/>
    <w:rsid w:val="0058612C"/>
    <w:rsid w:val="00587875"/>
    <w:rsid w:val="005C5EB6"/>
    <w:rsid w:val="005D3914"/>
    <w:rsid w:val="005D6B2F"/>
    <w:rsid w:val="006030C0"/>
    <w:rsid w:val="00607E2B"/>
    <w:rsid w:val="00612A9E"/>
    <w:rsid w:val="006139D6"/>
    <w:rsid w:val="00623CE1"/>
    <w:rsid w:val="0063062B"/>
    <w:rsid w:val="00667229"/>
    <w:rsid w:val="006769C2"/>
    <w:rsid w:val="00676FAA"/>
    <w:rsid w:val="00682BE5"/>
    <w:rsid w:val="0068691A"/>
    <w:rsid w:val="00690FED"/>
    <w:rsid w:val="006939A5"/>
    <w:rsid w:val="006B0CE4"/>
    <w:rsid w:val="006B480A"/>
    <w:rsid w:val="006D1D7B"/>
    <w:rsid w:val="006E12FC"/>
    <w:rsid w:val="006E66EB"/>
    <w:rsid w:val="006F0961"/>
    <w:rsid w:val="00712451"/>
    <w:rsid w:val="00725B5E"/>
    <w:rsid w:val="00731041"/>
    <w:rsid w:val="00732F08"/>
    <w:rsid w:val="00733E43"/>
    <w:rsid w:val="0074190C"/>
    <w:rsid w:val="00762576"/>
    <w:rsid w:val="0076767D"/>
    <w:rsid w:val="00786E33"/>
    <w:rsid w:val="00791060"/>
    <w:rsid w:val="007A3E29"/>
    <w:rsid w:val="007B5626"/>
    <w:rsid w:val="007C0DFE"/>
    <w:rsid w:val="007C1DB1"/>
    <w:rsid w:val="007D27B1"/>
    <w:rsid w:val="007E1FDD"/>
    <w:rsid w:val="007E7497"/>
    <w:rsid w:val="007F08FF"/>
    <w:rsid w:val="007F1246"/>
    <w:rsid w:val="007F1AB6"/>
    <w:rsid w:val="00805567"/>
    <w:rsid w:val="0080570B"/>
    <w:rsid w:val="008148E1"/>
    <w:rsid w:val="00816F4E"/>
    <w:rsid w:val="008319BF"/>
    <w:rsid w:val="008337EA"/>
    <w:rsid w:val="00837E04"/>
    <w:rsid w:val="008567CE"/>
    <w:rsid w:val="008950FB"/>
    <w:rsid w:val="008973DD"/>
    <w:rsid w:val="008D0E09"/>
    <w:rsid w:val="008E2A66"/>
    <w:rsid w:val="008E3821"/>
    <w:rsid w:val="00921BC6"/>
    <w:rsid w:val="00925E37"/>
    <w:rsid w:val="0094028D"/>
    <w:rsid w:val="00952DB2"/>
    <w:rsid w:val="0095302A"/>
    <w:rsid w:val="0097693B"/>
    <w:rsid w:val="00981932"/>
    <w:rsid w:val="00985A35"/>
    <w:rsid w:val="00993355"/>
    <w:rsid w:val="009A4A6D"/>
    <w:rsid w:val="009D44EC"/>
    <w:rsid w:val="009D4B7A"/>
    <w:rsid w:val="009F4C07"/>
    <w:rsid w:val="00A0503B"/>
    <w:rsid w:val="00A05644"/>
    <w:rsid w:val="00A119CC"/>
    <w:rsid w:val="00A13265"/>
    <w:rsid w:val="00A147C0"/>
    <w:rsid w:val="00A2119C"/>
    <w:rsid w:val="00A456E6"/>
    <w:rsid w:val="00A65C31"/>
    <w:rsid w:val="00A71136"/>
    <w:rsid w:val="00AA2D8E"/>
    <w:rsid w:val="00AA474C"/>
    <w:rsid w:val="00AD7E5F"/>
    <w:rsid w:val="00AF6E67"/>
    <w:rsid w:val="00B01AA1"/>
    <w:rsid w:val="00B30C81"/>
    <w:rsid w:val="00B3474C"/>
    <w:rsid w:val="00B404C2"/>
    <w:rsid w:val="00B4793B"/>
    <w:rsid w:val="00B54BBE"/>
    <w:rsid w:val="00B73A9B"/>
    <w:rsid w:val="00B83D52"/>
    <w:rsid w:val="00B92412"/>
    <w:rsid w:val="00BB28DB"/>
    <w:rsid w:val="00BB33AC"/>
    <w:rsid w:val="00BC7506"/>
    <w:rsid w:val="00BD2AB4"/>
    <w:rsid w:val="00BD306B"/>
    <w:rsid w:val="00BD43C7"/>
    <w:rsid w:val="00BE29EB"/>
    <w:rsid w:val="00C041B5"/>
    <w:rsid w:val="00C15633"/>
    <w:rsid w:val="00C15799"/>
    <w:rsid w:val="00C20F4D"/>
    <w:rsid w:val="00C357AD"/>
    <w:rsid w:val="00C406EE"/>
    <w:rsid w:val="00C45044"/>
    <w:rsid w:val="00C54693"/>
    <w:rsid w:val="00C6069C"/>
    <w:rsid w:val="00C64002"/>
    <w:rsid w:val="00C73F61"/>
    <w:rsid w:val="00C85119"/>
    <w:rsid w:val="00C970C2"/>
    <w:rsid w:val="00CA0DFA"/>
    <w:rsid w:val="00CD5431"/>
    <w:rsid w:val="00CF2491"/>
    <w:rsid w:val="00CF3A51"/>
    <w:rsid w:val="00D1252E"/>
    <w:rsid w:val="00D2399F"/>
    <w:rsid w:val="00D348CC"/>
    <w:rsid w:val="00D3505E"/>
    <w:rsid w:val="00D3690B"/>
    <w:rsid w:val="00D57772"/>
    <w:rsid w:val="00D61F12"/>
    <w:rsid w:val="00D64812"/>
    <w:rsid w:val="00D72AE3"/>
    <w:rsid w:val="00D75A4D"/>
    <w:rsid w:val="00D80AE8"/>
    <w:rsid w:val="00D8478B"/>
    <w:rsid w:val="00D86151"/>
    <w:rsid w:val="00D96527"/>
    <w:rsid w:val="00DA342A"/>
    <w:rsid w:val="00DA7595"/>
    <w:rsid w:val="00DB0A68"/>
    <w:rsid w:val="00DB6EC4"/>
    <w:rsid w:val="00DC0BD3"/>
    <w:rsid w:val="00DC43A3"/>
    <w:rsid w:val="00DD7C09"/>
    <w:rsid w:val="00DE146C"/>
    <w:rsid w:val="00DF791C"/>
    <w:rsid w:val="00E00B21"/>
    <w:rsid w:val="00E0124F"/>
    <w:rsid w:val="00E23D98"/>
    <w:rsid w:val="00E23EF2"/>
    <w:rsid w:val="00E300F5"/>
    <w:rsid w:val="00E545D9"/>
    <w:rsid w:val="00E639BA"/>
    <w:rsid w:val="00E640D0"/>
    <w:rsid w:val="00E65FC2"/>
    <w:rsid w:val="00E674D3"/>
    <w:rsid w:val="00E70FD0"/>
    <w:rsid w:val="00E80263"/>
    <w:rsid w:val="00E82E43"/>
    <w:rsid w:val="00EA7027"/>
    <w:rsid w:val="00EB506D"/>
    <w:rsid w:val="00EC1B79"/>
    <w:rsid w:val="00EC538C"/>
    <w:rsid w:val="00ED258F"/>
    <w:rsid w:val="00ED407B"/>
    <w:rsid w:val="00ED411F"/>
    <w:rsid w:val="00F17BE0"/>
    <w:rsid w:val="00F22807"/>
    <w:rsid w:val="00F2678E"/>
    <w:rsid w:val="00F27A79"/>
    <w:rsid w:val="00F441E2"/>
    <w:rsid w:val="00F559AE"/>
    <w:rsid w:val="00F65C0D"/>
    <w:rsid w:val="00F84067"/>
    <w:rsid w:val="00F871F5"/>
    <w:rsid w:val="00FA2762"/>
    <w:rsid w:val="00FC156A"/>
    <w:rsid w:val="00FC3513"/>
    <w:rsid w:val="00FC74DB"/>
    <w:rsid w:val="00FD36C2"/>
    <w:rsid w:val="00FE3DE5"/>
    <w:rsid w:val="00FF4A63"/>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3C7B59"/>
    <w:pPr>
      <w:keepNext/>
      <w:outlineLvl w:val="1"/>
    </w:pPr>
    <w:rPr>
      <w:rFonts w:asciiTheme="majorHAnsi" w:eastAsiaTheme="majorEastAsia" w:hAnsiTheme="majorHAnsi" w:cstheme="majorBidi"/>
    </w:rPr>
  </w:style>
  <w:style w:type="paragraph" w:styleId="Heading3">
    <w:name w:val="heading 3"/>
    <w:basedOn w:val="Normal"/>
    <w:next w:val="Normal"/>
    <w:link w:val="Heading3Char"/>
    <w:semiHidden/>
    <w:unhideWhenUsed/>
    <w:qFormat/>
    <w:rsid w:val="002C14F8"/>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rsid w:val="009D4B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semiHidden/>
    <w:rsid w:val="009D4B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9D4B7A"/>
    <w:rPr>
      <w:vertAlign w:val="superscript"/>
    </w:rPr>
  </w:style>
  <w:style w:type="character" w:customStyle="1" w:styleId="ECCHLbold">
    <w:name w:val="ECC HL bold"/>
    <w:basedOn w:val="DefaultParagraphFont"/>
    <w:uiPriority w:val="99"/>
    <w:qFormat/>
    <w:rsid w:val="007F1246"/>
    <w:rPr>
      <w:b/>
      <w:bCs/>
    </w:rPr>
  </w:style>
  <w:style w:type="character" w:customStyle="1" w:styleId="ECCParagraph">
    <w:name w:val="ECC Paragraph"/>
    <w:basedOn w:val="DefaultParagraphFont"/>
    <w:uiPriority w:val="1"/>
    <w:qFormat/>
    <w:rsid w:val="00234ACE"/>
    <w:rPr>
      <w:rFonts w:ascii="Arial" w:hAnsi="Arial" w:cs="Arial" w:hint="default"/>
      <w:noProof w:val="0"/>
      <w:sz w:val="20"/>
      <w:bdr w:val="none" w:sz="0" w:space="0" w:color="auto" w:frame="1"/>
      <w:lang w:val="en-GB"/>
    </w:rPr>
  </w:style>
  <w:style w:type="character" w:customStyle="1" w:styleId="Heading3Char">
    <w:name w:val="Heading 3 Char"/>
    <w:basedOn w:val="DefaultParagraphFont"/>
    <w:link w:val="Heading3"/>
    <w:semiHidden/>
    <w:rsid w:val="002C14F8"/>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qFormat/>
    <w:locked/>
    <w:rsid w:val="002C7BFB"/>
    <w:rPr>
      <w:rFonts w:eastAsia="BatangChe"/>
      <w:sz w:val="24"/>
      <w:szCs w:val="24"/>
    </w:rPr>
  </w:style>
  <w:style w:type="paragraph" w:customStyle="1" w:styleId="enumlev1">
    <w:name w:val="enumlev1"/>
    <w:basedOn w:val="Normal"/>
    <w:link w:val="enumlev1Char"/>
    <w:qFormat/>
    <w:rsid w:val="00C970C2"/>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paragraph" w:customStyle="1" w:styleId="Tabletext">
    <w:name w:val="Table_text"/>
    <w:basedOn w:val="Normal"/>
    <w:uiPriority w:val="99"/>
    <w:qFormat/>
    <w:rsid w:val="00C970C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0"/>
      <w:szCs w:val="20"/>
      <w:lang w:val="en-GB"/>
    </w:rPr>
  </w:style>
  <w:style w:type="paragraph" w:styleId="Caption">
    <w:name w:val="caption"/>
    <w:basedOn w:val="Normal"/>
    <w:next w:val="Normal"/>
    <w:unhideWhenUsed/>
    <w:qFormat/>
    <w:rsid w:val="00C970C2"/>
    <w:pPr>
      <w:spacing w:after="200"/>
    </w:pPr>
    <w:rPr>
      <w:rFonts w:eastAsiaTheme="minorEastAsia"/>
      <w:b/>
      <w:bCs/>
      <w:color w:val="4F81BD" w:themeColor="accent1"/>
      <w:sz w:val="18"/>
      <w:szCs w:val="18"/>
    </w:rPr>
  </w:style>
  <w:style w:type="table" w:styleId="TableGrid">
    <w:name w:val="Table Grid"/>
    <w:basedOn w:val="TableNormal"/>
    <w:qFormat/>
    <w:rsid w:val="00C9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sid w:val="00C970C2"/>
    <w:rPr>
      <w:rFonts w:eastAsia="MS Mincho"/>
      <w:sz w:val="24"/>
      <w:lang w:val="en-GB"/>
    </w:rPr>
  </w:style>
  <w:style w:type="paragraph" w:styleId="Revision">
    <w:name w:val="Revision"/>
    <w:hidden/>
    <w:uiPriority w:val="99"/>
    <w:semiHidden/>
    <w:rsid w:val="006D1D7B"/>
    <w:rPr>
      <w:rFonts w:eastAsia="BatangChe"/>
      <w:sz w:val="24"/>
      <w:szCs w:val="24"/>
    </w:rPr>
  </w:style>
  <w:style w:type="character" w:customStyle="1" w:styleId="Heading2Char">
    <w:name w:val="Heading 2 Char"/>
    <w:basedOn w:val="DefaultParagraphFont"/>
    <w:link w:val="Heading2"/>
    <w:semiHidden/>
    <w:rsid w:val="003C7B5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6896-7A4F-480D-AB5F-EC262E0E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1415</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24</cp:revision>
  <cp:lastPrinted>2004-07-28T02:14:00Z</cp:lastPrinted>
  <dcterms:created xsi:type="dcterms:W3CDTF">2023-08-15T06:54:00Z</dcterms:created>
  <dcterms:modified xsi:type="dcterms:W3CDTF">2023-08-18T21:36:00Z</dcterms:modified>
</cp:coreProperties>
</file>