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F77408" w:rsidRPr="007B411E" w14:paraId="0CD23798" w14:textId="77777777" w:rsidTr="00690F4D">
        <w:trPr>
          <w:cantSplit/>
          <w:trHeight w:val="288"/>
        </w:trPr>
        <w:tc>
          <w:tcPr>
            <w:tcW w:w="1399" w:type="dxa"/>
            <w:vMerge w:val="restart"/>
          </w:tcPr>
          <w:p w14:paraId="51A4C9BA" w14:textId="77777777" w:rsidR="00F77408" w:rsidRPr="007B411E" w:rsidRDefault="00F77408" w:rsidP="00690F4D">
            <w:pPr>
              <w:rPr>
                <w:lang w:eastAsia="ko-KR"/>
              </w:rPr>
            </w:pPr>
            <w:r w:rsidRPr="007B411E">
              <w:rPr>
                <w:noProof/>
                <w:lang w:val="en-GB" w:eastAsia="en-GB"/>
              </w:rPr>
              <w:drawing>
                <wp:inline distT="0" distB="0" distL="0" distR="0" wp14:anchorId="4BFA2709" wp14:editId="56B850C5">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9DBB292" w14:textId="77777777" w:rsidR="00F77408" w:rsidRPr="007B411E" w:rsidRDefault="00F77408" w:rsidP="00690F4D">
            <w:pPr>
              <w:rPr>
                <w:lang w:eastAsia="ko-KR"/>
              </w:rPr>
            </w:pPr>
            <w:r w:rsidRPr="007B411E">
              <w:rPr>
                <w:lang w:eastAsia="ko-KR"/>
              </w:rPr>
              <w:t>ASIA-PACIFIC TELECOMMUNITY</w:t>
            </w:r>
          </w:p>
        </w:tc>
        <w:tc>
          <w:tcPr>
            <w:tcW w:w="2160" w:type="dxa"/>
          </w:tcPr>
          <w:p w14:paraId="3C5E6840" w14:textId="77777777" w:rsidR="00F77408" w:rsidRPr="007B411E" w:rsidRDefault="00F77408" w:rsidP="00690F4D">
            <w:pPr>
              <w:rPr>
                <w:b/>
                <w:bCs/>
                <w:lang w:eastAsia="ko-KR"/>
              </w:rPr>
            </w:pPr>
            <w:r w:rsidRPr="007B411E">
              <w:rPr>
                <w:b/>
                <w:bCs/>
                <w:lang w:eastAsia="ko-KR"/>
              </w:rPr>
              <w:t>Document No:</w:t>
            </w:r>
          </w:p>
        </w:tc>
      </w:tr>
      <w:tr w:rsidR="00F77408" w:rsidRPr="007B411E" w14:paraId="1D5D98AF" w14:textId="77777777" w:rsidTr="00690F4D">
        <w:trPr>
          <w:cantSplit/>
          <w:trHeight w:val="504"/>
        </w:trPr>
        <w:tc>
          <w:tcPr>
            <w:tcW w:w="1399" w:type="dxa"/>
            <w:vMerge/>
          </w:tcPr>
          <w:p w14:paraId="77AB7B9C" w14:textId="77777777" w:rsidR="00F77408" w:rsidRPr="007B411E" w:rsidRDefault="00F77408" w:rsidP="00690F4D">
            <w:pPr>
              <w:rPr>
                <w:lang w:eastAsia="ko-KR"/>
              </w:rPr>
            </w:pPr>
          </w:p>
        </w:tc>
        <w:tc>
          <w:tcPr>
            <w:tcW w:w="5760" w:type="dxa"/>
          </w:tcPr>
          <w:p w14:paraId="08B2151F" w14:textId="373A5B19" w:rsidR="00F77408" w:rsidRDefault="00F77408" w:rsidP="00690F4D">
            <w:pPr>
              <w:spacing w:line="0" w:lineRule="atLeast"/>
              <w:rPr>
                <w:b/>
              </w:rPr>
            </w:pPr>
            <w:r>
              <w:rPr>
                <w:b/>
              </w:rPr>
              <w:t xml:space="preserve">The </w:t>
            </w:r>
            <w:r w:rsidR="001818D2">
              <w:rPr>
                <w:b/>
              </w:rPr>
              <w:t>6</w:t>
            </w:r>
            <w:r>
              <w:rPr>
                <w:b/>
              </w:rPr>
              <w:t>th Meeting of the APT Conference Preparatory</w:t>
            </w:r>
          </w:p>
          <w:p w14:paraId="32E10D12" w14:textId="34C8996C" w:rsidR="00F77408" w:rsidRPr="007B411E" w:rsidRDefault="00F77408" w:rsidP="00690F4D">
            <w:pPr>
              <w:rPr>
                <w:lang w:eastAsia="ko-KR"/>
              </w:rPr>
            </w:pPr>
            <w:r>
              <w:rPr>
                <w:b/>
              </w:rPr>
              <w:t>Group for WRC-23 (APG23-</w:t>
            </w:r>
            <w:r w:rsidR="001818D2">
              <w:rPr>
                <w:b/>
              </w:rPr>
              <w:t>6</w:t>
            </w:r>
            <w:r>
              <w:rPr>
                <w:b/>
              </w:rPr>
              <w:t>)</w:t>
            </w:r>
          </w:p>
        </w:tc>
        <w:tc>
          <w:tcPr>
            <w:tcW w:w="2160" w:type="dxa"/>
          </w:tcPr>
          <w:p w14:paraId="7EBF37F6" w14:textId="1DF526D0" w:rsidR="00F77408" w:rsidRDefault="00F77408" w:rsidP="00690F4D">
            <w:pPr>
              <w:rPr>
                <w:b/>
                <w:bCs/>
                <w:lang w:val="fr-FR"/>
              </w:rPr>
            </w:pPr>
            <w:r w:rsidRPr="00C96104">
              <w:rPr>
                <w:b/>
                <w:bCs/>
                <w:lang w:val="fr-FR"/>
              </w:rPr>
              <w:t>AP</w:t>
            </w:r>
            <w:r>
              <w:rPr>
                <w:b/>
                <w:bCs/>
                <w:lang w:val="fr-FR"/>
              </w:rPr>
              <w:t>G23-</w:t>
            </w:r>
            <w:r w:rsidR="001818D2">
              <w:rPr>
                <w:b/>
                <w:bCs/>
                <w:lang w:val="fr-FR"/>
              </w:rPr>
              <w:t>6</w:t>
            </w:r>
            <w:r>
              <w:rPr>
                <w:b/>
                <w:bCs/>
                <w:lang w:val="fr-FR"/>
              </w:rPr>
              <w:t>/</w:t>
            </w:r>
            <w:r w:rsidR="00D32FE6">
              <w:rPr>
                <w:b/>
                <w:bCs/>
                <w:lang w:val="fr-FR"/>
              </w:rPr>
              <w:t>OUT</w:t>
            </w:r>
            <w:r>
              <w:rPr>
                <w:b/>
                <w:bCs/>
                <w:lang w:val="fr-FR"/>
              </w:rPr>
              <w:t>-</w:t>
            </w:r>
            <w:r w:rsidR="00822C0E">
              <w:rPr>
                <w:b/>
                <w:bCs/>
                <w:lang w:val="fr-FR"/>
              </w:rPr>
              <w:t>17</w:t>
            </w:r>
          </w:p>
          <w:p w14:paraId="08D2E310" w14:textId="77777777" w:rsidR="00F77408" w:rsidRPr="007B411E" w:rsidRDefault="00F77408" w:rsidP="00690F4D">
            <w:pPr>
              <w:rPr>
                <w:b/>
                <w:bCs/>
                <w:lang w:val="en-GB" w:eastAsia="ko-KR"/>
              </w:rPr>
            </w:pPr>
          </w:p>
        </w:tc>
      </w:tr>
      <w:tr w:rsidR="00F77408" w:rsidRPr="007B411E" w14:paraId="43631A71" w14:textId="77777777" w:rsidTr="00690F4D">
        <w:trPr>
          <w:cantSplit/>
          <w:trHeight w:val="288"/>
        </w:trPr>
        <w:tc>
          <w:tcPr>
            <w:tcW w:w="1399" w:type="dxa"/>
            <w:vMerge/>
          </w:tcPr>
          <w:p w14:paraId="2AB72A12" w14:textId="77777777" w:rsidR="00F77408" w:rsidRPr="007B411E" w:rsidRDefault="00F77408" w:rsidP="00690F4D">
            <w:pPr>
              <w:rPr>
                <w:lang w:val="en-GB" w:eastAsia="ko-KR"/>
              </w:rPr>
            </w:pPr>
          </w:p>
        </w:tc>
        <w:tc>
          <w:tcPr>
            <w:tcW w:w="5760" w:type="dxa"/>
            <w:vAlign w:val="bottom"/>
          </w:tcPr>
          <w:p w14:paraId="4FD5CCBB" w14:textId="70454268" w:rsidR="00F77408" w:rsidRPr="007B411E" w:rsidRDefault="001818D2" w:rsidP="00690F4D">
            <w:pPr>
              <w:rPr>
                <w:b/>
                <w:lang w:eastAsia="ko-KR"/>
              </w:rPr>
            </w:pPr>
            <w:r>
              <w:t>14</w:t>
            </w:r>
            <w:r w:rsidR="00F77408">
              <w:t xml:space="preserve"> – </w:t>
            </w:r>
            <w:r>
              <w:t>19</w:t>
            </w:r>
            <w:r w:rsidR="00F77408">
              <w:t xml:space="preserve"> </w:t>
            </w:r>
            <w:r>
              <w:t>August</w:t>
            </w:r>
            <w:r w:rsidR="00F77408">
              <w:t xml:space="preserve"> 2023</w:t>
            </w:r>
            <w:r w:rsidR="00F77408" w:rsidRPr="00891D0B">
              <w:t xml:space="preserve">, </w:t>
            </w:r>
            <w:r>
              <w:t>Brisbane</w:t>
            </w:r>
            <w:r w:rsidR="00F77408">
              <w:t xml:space="preserve">, </w:t>
            </w:r>
            <w:r>
              <w:t>Australia</w:t>
            </w:r>
          </w:p>
        </w:tc>
        <w:tc>
          <w:tcPr>
            <w:tcW w:w="2160" w:type="dxa"/>
            <w:vAlign w:val="bottom"/>
          </w:tcPr>
          <w:p w14:paraId="581BF3C1" w14:textId="5E1936D5" w:rsidR="00F77408" w:rsidRPr="007B411E" w:rsidRDefault="00DA40E2" w:rsidP="00690F4D">
            <w:pPr>
              <w:rPr>
                <w:bCs/>
                <w:lang w:eastAsia="ko-KR"/>
              </w:rPr>
            </w:pPr>
            <w:r>
              <w:rPr>
                <w:bCs/>
              </w:rPr>
              <w:t>1</w:t>
            </w:r>
            <w:r w:rsidR="00822C0E">
              <w:rPr>
                <w:bCs/>
              </w:rPr>
              <w:t>8</w:t>
            </w:r>
            <w:r w:rsidR="00F77408">
              <w:rPr>
                <w:bCs/>
              </w:rPr>
              <w:t xml:space="preserve"> </w:t>
            </w:r>
            <w:r>
              <w:rPr>
                <w:bCs/>
              </w:rPr>
              <w:t>August</w:t>
            </w:r>
            <w:r w:rsidR="00F77408">
              <w:rPr>
                <w:bCs/>
              </w:rPr>
              <w:t xml:space="preserve"> </w:t>
            </w:r>
            <w:r w:rsidR="00F77408" w:rsidRPr="007E1FDD">
              <w:rPr>
                <w:bCs/>
              </w:rPr>
              <w:t>20</w:t>
            </w:r>
            <w:r w:rsidR="00F77408">
              <w:rPr>
                <w:bCs/>
              </w:rPr>
              <w:t>23</w:t>
            </w:r>
          </w:p>
        </w:tc>
      </w:tr>
    </w:tbl>
    <w:p w14:paraId="6B260804" w14:textId="77777777" w:rsidR="00311E8A" w:rsidRPr="007E61C6" w:rsidRDefault="00311E8A" w:rsidP="00901474">
      <w:pPr>
        <w:rPr>
          <w:lang w:val="en-NZ"/>
        </w:rPr>
      </w:pPr>
    </w:p>
    <w:p w14:paraId="55869590" w14:textId="77777777" w:rsidR="00894DA9" w:rsidRDefault="00894DA9" w:rsidP="00B64A60">
      <w:pPr>
        <w:jc w:val="center"/>
        <w:rPr>
          <w:lang w:val="en-NZ" w:eastAsia="ko-KR"/>
        </w:rPr>
      </w:pPr>
    </w:p>
    <w:p w14:paraId="2D5F2295" w14:textId="3AEC73C4" w:rsidR="00CB423E" w:rsidRPr="00485532" w:rsidRDefault="00485532" w:rsidP="00CB423E">
      <w:pPr>
        <w:jc w:val="center"/>
        <w:rPr>
          <w:lang w:val="vi-VN" w:eastAsia="ko-KR"/>
        </w:rPr>
      </w:pPr>
      <w:r>
        <w:rPr>
          <w:lang w:val="vi-VN" w:eastAsia="ko-KR"/>
        </w:rPr>
        <w:t>Working Party 2</w:t>
      </w:r>
    </w:p>
    <w:p w14:paraId="1DE4BA8F" w14:textId="77777777" w:rsidR="00B64A60" w:rsidRPr="007E61C6" w:rsidRDefault="00B64A60" w:rsidP="00B64A60">
      <w:pPr>
        <w:jc w:val="center"/>
        <w:rPr>
          <w:bCs/>
          <w:caps/>
          <w:lang w:val="en-NZ"/>
        </w:rPr>
      </w:pPr>
    </w:p>
    <w:p w14:paraId="3BC34A6F" w14:textId="77777777" w:rsidR="00DC1A92" w:rsidRDefault="001818D2" w:rsidP="001818D2">
      <w:pPr>
        <w:spacing w:after="120"/>
        <w:jc w:val="center"/>
        <w:rPr>
          <w:b/>
          <w:bCs/>
          <w:caps/>
          <w:lang w:val="en-NZ"/>
        </w:rPr>
      </w:pPr>
      <w:r>
        <w:rPr>
          <w:b/>
          <w:bCs/>
          <w:caps/>
          <w:lang w:val="en-NZ"/>
        </w:rPr>
        <w:t>APT</w:t>
      </w:r>
      <w:r w:rsidRPr="00441526">
        <w:rPr>
          <w:b/>
          <w:bCs/>
          <w:caps/>
          <w:lang w:val="en-NZ"/>
        </w:rPr>
        <w:t xml:space="preserve"> VIEW</w:t>
      </w:r>
      <w:r>
        <w:rPr>
          <w:rStyle w:val="FootnoteReference"/>
          <w:b/>
          <w:bCs/>
          <w:caps/>
          <w:lang w:val="en-NZ"/>
        </w:rPr>
        <w:footnoteReference w:id="1"/>
      </w:r>
      <w:r>
        <w:rPr>
          <w:b/>
          <w:bCs/>
          <w:caps/>
          <w:lang w:val="en-NZ"/>
        </w:rPr>
        <w:t xml:space="preserve"> and </w:t>
      </w:r>
      <w:r w:rsidRPr="00104039">
        <w:rPr>
          <w:b/>
          <w:bCs/>
          <w:caps/>
          <w:lang w:val="en-NZ"/>
        </w:rPr>
        <w:t>Preliminary APT Common Proposal</w:t>
      </w:r>
    </w:p>
    <w:p w14:paraId="278CDD84" w14:textId="155D24BA" w:rsidR="00B64A60" w:rsidRDefault="001818D2" w:rsidP="001818D2">
      <w:pPr>
        <w:spacing w:after="120"/>
        <w:jc w:val="center"/>
        <w:rPr>
          <w:b/>
          <w:bCs/>
          <w:caps/>
          <w:lang w:val="en-NZ"/>
        </w:rPr>
      </w:pPr>
      <w:r w:rsidRPr="00441526">
        <w:rPr>
          <w:b/>
          <w:bCs/>
          <w:caps/>
          <w:lang w:val="en-NZ"/>
        </w:rPr>
        <w:t>on WRC-</w:t>
      </w:r>
      <w:r>
        <w:rPr>
          <w:b/>
          <w:bCs/>
          <w:caps/>
          <w:lang w:val="en-NZ"/>
        </w:rPr>
        <w:t>23</w:t>
      </w:r>
      <w:r w:rsidRPr="00441526">
        <w:rPr>
          <w:b/>
          <w:bCs/>
          <w:caps/>
          <w:lang w:val="en-NZ"/>
        </w:rPr>
        <w:t xml:space="preserve"> agenda item 1.</w:t>
      </w:r>
      <w:r>
        <w:rPr>
          <w:b/>
          <w:bCs/>
          <w:caps/>
          <w:lang w:val="en-NZ"/>
        </w:rPr>
        <w:t>8</w:t>
      </w:r>
    </w:p>
    <w:p w14:paraId="4F7DC9B5" w14:textId="77777777" w:rsidR="001818D2" w:rsidRPr="001818D2" w:rsidRDefault="001818D2" w:rsidP="001818D2">
      <w:pPr>
        <w:spacing w:after="120"/>
        <w:jc w:val="center"/>
        <w:rPr>
          <w:lang w:val="en-NZ"/>
        </w:rPr>
      </w:pPr>
    </w:p>
    <w:p w14:paraId="6D986D61" w14:textId="77777777" w:rsidR="001570BC" w:rsidRPr="007E61C6" w:rsidRDefault="001570BC" w:rsidP="001570BC">
      <w:pPr>
        <w:spacing w:after="120"/>
        <w:jc w:val="both"/>
        <w:rPr>
          <w:lang w:val="en-NZ"/>
        </w:rPr>
      </w:pPr>
      <w:r w:rsidRPr="007E61C6">
        <w:rPr>
          <w:b/>
          <w:lang w:val="en-NZ"/>
        </w:rPr>
        <w:t xml:space="preserve">Agenda Item 1.8 </w:t>
      </w:r>
    </w:p>
    <w:p w14:paraId="0BA9169B" w14:textId="77777777" w:rsidR="001570BC" w:rsidRPr="007E61C6" w:rsidRDefault="001570BC" w:rsidP="001570BC">
      <w:pPr>
        <w:spacing w:after="120"/>
        <w:jc w:val="both"/>
        <w:rPr>
          <w:b/>
          <w:highlight w:val="yellow"/>
          <w:lang w:val="en-NZ"/>
        </w:rPr>
      </w:pPr>
      <w:r w:rsidRPr="007E61C6">
        <w:rPr>
          <w:i/>
        </w:rPr>
        <w:t xml:space="preserve">to consider, on the basis of ITU R studies in accordance with Resolution </w:t>
      </w:r>
      <w:r w:rsidRPr="007E61C6">
        <w:rPr>
          <w:b/>
          <w:bCs/>
          <w:i/>
        </w:rPr>
        <w:t>171 (WRC-19)</w:t>
      </w:r>
      <w:r w:rsidRPr="007E61C6">
        <w:rPr>
          <w:i/>
        </w:rPr>
        <w:t xml:space="preserve">, appropriate regulatory actions, with a view to reviewing and, if necessary, revising Resolution </w:t>
      </w:r>
      <w:r w:rsidRPr="007E61C6">
        <w:rPr>
          <w:b/>
          <w:bCs/>
          <w:i/>
        </w:rPr>
        <w:t xml:space="preserve">155 (Rev.WRC-19) </w:t>
      </w:r>
      <w:r w:rsidRPr="007E61C6">
        <w:rPr>
          <w:i/>
        </w:rPr>
        <w:t xml:space="preserve">and No. </w:t>
      </w:r>
      <w:r w:rsidRPr="007E61C6">
        <w:rPr>
          <w:b/>
          <w:bCs/>
          <w:i/>
        </w:rPr>
        <w:t>5.484B</w:t>
      </w:r>
      <w:r w:rsidRPr="007E61C6">
        <w:rPr>
          <w:i/>
        </w:rPr>
        <w:t xml:space="preserve"> to accommodate the use of fixed-satellite service (FSS) networks by control and non-payload communications of unmanned aircraft systems;</w:t>
      </w:r>
    </w:p>
    <w:p w14:paraId="77F1F4D8" w14:textId="77777777" w:rsidR="00626D9A" w:rsidRPr="007E61C6" w:rsidRDefault="00626D9A" w:rsidP="002A0111">
      <w:pPr>
        <w:jc w:val="both"/>
        <w:rPr>
          <w:lang w:val="en-NZ"/>
        </w:rPr>
      </w:pPr>
    </w:p>
    <w:p w14:paraId="184AEF7E" w14:textId="757E45AF" w:rsidR="002A0111" w:rsidRPr="00DF64C5" w:rsidRDefault="002A0111" w:rsidP="006E695D">
      <w:pPr>
        <w:pStyle w:val="ListParagraph"/>
        <w:numPr>
          <w:ilvl w:val="0"/>
          <w:numId w:val="37"/>
        </w:numPr>
        <w:spacing w:after="120"/>
        <w:ind w:left="709"/>
        <w:jc w:val="both"/>
        <w:rPr>
          <w:b/>
          <w:lang w:val="en-NZ" w:eastAsia="ko-KR"/>
        </w:rPr>
      </w:pPr>
      <w:r w:rsidRPr="00DF64C5">
        <w:rPr>
          <w:b/>
          <w:lang w:val="en-NZ" w:eastAsia="ko-KR"/>
        </w:rPr>
        <w:t>Background</w:t>
      </w:r>
    </w:p>
    <w:p w14:paraId="44253F14" w14:textId="51FA0035" w:rsidR="001570BC" w:rsidRPr="007E61C6" w:rsidRDefault="00FF5535" w:rsidP="006E695D">
      <w:pPr>
        <w:spacing w:before="120"/>
        <w:jc w:val="both"/>
      </w:pPr>
      <w:bookmarkStart w:id="0" w:name="_Hlk142901244"/>
      <w:r>
        <w:rPr>
          <w:lang w:val="en-NZ"/>
        </w:rPr>
        <w:t xml:space="preserve">In compliance with Resolution </w:t>
      </w:r>
      <w:r w:rsidRPr="00256326">
        <w:rPr>
          <w:b/>
          <w:lang w:val="en-NZ"/>
        </w:rPr>
        <w:t>171 (WRC-19)</w:t>
      </w:r>
      <w:r>
        <w:rPr>
          <w:lang w:val="en-NZ"/>
        </w:rPr>
        <w:t>, u</w:t>
      </w:r>
      <w:proofErr w:type="spellStart"/>
      <w:r>
        <w:t>nder</w:t>
      </w:r>
      <w:proofErr w:type="spellEnd"/>
      <w:r>
        <w:t xml:space="preserve"> its agenda item 1.8, </w:t>
      </w:r>
      <w:r w:rsidR="001570BC" w:rsidRPr="007E61C6">
        <w:t xml:space="preserve">WRC-23 is to review and undertake a potential revision of Resolution </w:t>
      </w:r>
      <w:r w:rsidR="001570BC" w:rsidRPr="007E61C6">
        <w:rPr>
          <w:b/>
        </w:rPr>
        <w:t>155 (Rev.WRC</w:t>
      </w:r>
      <w:r w:rsidR="007E61C6">
        <w:rPr>
          <w:rFonts w:ascii="MS Mincho" w:eastAsia="MS Mincho" w:hAnsi="MS Mincho" w:cs="MS Mincho" w:hint="eastAsia"/>
          <w:b/>
          <w:lang w:eastAsia="ja-JP"/>
        </w:rPr>
        <w:t>-</w:t>
      </w:r>
      <w:r w:rsidR="001570BC" w:rsidRPr="007E61C6">
        <w:rPr>
          <w:b/>
        </w:rPr>
        <w:t>19)</w:t>
      </w:r>
      <w:r w:rsidR="001570BC" w:rsidRPr="007E61C6">
        <w:t xml:space="preserve"> and No. </w:t>
      </w:r>
      <w:r w:rsidR="001570BC" w:rsidRPr="007E61C6">
        <w:rPr>
          <w:b/>
        </w:rPr>
        <w:t>5.484B</w:t>
      </w:r>
      <w:r w:rsidR="001570BC" w:rsidRPr="007E61C6">
        <w:t xml:space="preserve"> in the frequency bands </w:t>
      </w:r>
      <w:r w:rsidR="00CC0B07">
        <w:t xml:space="preserve">referred to in </w:t>
      </w:r>
      <w:r w:rsidR="00CC0B07" w:rsidRPr="00256326">
        <w:rPr>
          <w:b/>
          <w:bCs/>
        </w:rPr>
        <w:t>Resolution 155</w:t>
      </w:r>
      <w:r w:rsidR="00A66879">
        <w:rPr>
          <w:b/>
          <w:bCs/>
        </w:rPr>
        <w:t xml:space="preserve"> </w:t>
      </w:r>
      <w:r w:rsidR="00CC0B07" w:rsidRPr="00256326">
        <w:rPr>
          <w:b/>
          <w:bCs/>
        </w:rPr>
        <w:t>(Rev</w:t>
      </w:r>
      <w:r w:rsidR="00A66879" w:rsidRPr="00256326">
        <w:rPr>
          <w:b/>
          <w:bCs/>
        </w:rPr>
        <w:t>.</w:t>
      </w:r>
      <w:r w:rsidR="00CC0B07" w:rsidRPr="00256326">
        <w:rPr>
          <w:b/>
          <w:bCs/>
        </w:rPr>
        <w:t xml:space="preserve"> WRC-19)</w:t>
      </w:r>
      <w:r w:rsidR="001570BC" w:rsidRPr="007E61C6">
        <w:t>.</w:t>
      </w:r>
      <w:r w:rsidRPr="00FF5535">
        <w:rPr>
          <w:rFonts w:eastAsia="MS Mincho"/>
          <w:lang w:eastAsia="ja-JP"/>
        </w:rPr>
        <w:t xml:space="preserve"> </w:t>
      </w:r>
      <w:r w:rsidRPr="003E264C">
        <w:rPr>
          <w:rFonts w:eastAsia="MS Mincho"/>
          <w:lang w:eastAsia="ja-JP"/>
        </w:rPr>
        <w:t xml:space="preserve">The responsible </w:t>
      </w:r>
      <w:r>
        <w:rPr>
          <w:rFonts w:eastAsia="MS Mincho"/>
          <w:lang w:eastAsia="ja-JP"/>
        </w:rPr>
        <w:t>working party for the preparatory work within ITU-R is</w:t>
      </w:r>
      <w:r w:rsidRPr="003E264C">
        <w:rPr>
          <w:rFonts w:eastAsia="MS Mincho"/>
          <w:lang w:eastAsia="ja-JP"/>
        </w:rPr>
        <w:t xml:space="preserve"> WP 5B</w:t>
      </w:r>
      <w:r>
        <w:rPr>
          <w:rFonts w:eastAsia="MS Mincho"/>
          <w:lang w:eastAsia="ja-JP"/>
        </w:rPr>
        <w:t xml:space="preserve"> with WP 4A and WP 4B being contributing working parties.</w:t>
      </w:r>
      <w:r w:rsidRPr="003E264C">
        <w:rPr>
          <w:rFonts w:eastAsia="MS Mincho"/>
          <w:lang w:eastAsia="ja-JP"/>
        </w:rPr>
        <w:t xml:space="preserve"> </w:t>
      </w:r>
      <w:r>
        <w:rPr>
          <w:rFonts w:eastAsia="MS Mincho"/>
          <w:lang w:eastAsia="ja-JP"/>
        </w:rPr>
        <w:t xml:space="preserve">During the study cycle, WP 5B has worked in liaison with the contributing working parties </w:t>
      </w:r>
      <w:r w:rsidRPr="003E264C">
        <w:rPr>
          <w:rFonts w:eastAsia="MS Mincho"/>
          <w:lang w:eastAsia="ja-JP"/>
        </w:rPr>
        <w:t>as well as to WP 3M, WP 5A, WP 5C, and WP 7D</w:t>
      </w:r>
      <w:r>
        <w:rPr>
          <w:rFonts w:eastAsia="MS Mincho"/>
          <w:lang w:eastAsia="ja-JP"/>
        </w:rPr>
        <w:t xml:space="preserve"> and ICAO.</w:t>
      </w:r>
    </w:p>
    <w:p w14:paraId="7D9B1373" w14:textId="77777777" w:rsidR="00FF5535" w:rsidRDefault="00FF5535" w:rsidP="006E695D">
      <w:pPr>
        <w:jc w:val="both"/>
        <w:rPr>
          <w:rFonts w:eastAsia="MS Mincho"/>
          <w:lang w:eastAsia="ja-JP"/>
        </w:rPr>
      </w:pPr>
      <w:bookmarkStart w:id="1" w:name="_Hlk110437983"/>
    </w:p>
    <w:p w14:paraId="7F254456" w14:textId="77777777" w:rsidR="008E4676" w:rsidRDefault="008E4676" w:rsidP="008E4676">
      <w:pPr>
        <w:jc w:val="both"/>
      </w:pPr>
      <w:r>
        <w:t xml:space="preserve">In the final CPM Report for WRC-23, the following methods are proposed to address this agenda item. </w:t>
      </w:r>
    </w:p>
    <w:p w14:paraId="53BB9499" w14:textId="77777777" w:rsidR="008E4676" w:rsidRDefault="008E4676" w:rsidP="008E4676">
      <w:pPr>
        <w:jc w:val="both"/>
      </w:pPr>
    </w:p>
    <w:p w14:paraId="5E408713" w14:textId="77777777" w:rsidR="008E4676" w:rsidRDefault="008E4676" w:rsidP="008E4676">
      <w:pPr>
        <w:jc w:val="both"/>
        <w:rPr>
          <w:b/>
          <w:bCs/>
          <w:lang w:val="en-GB"/>
        </w:rPr>
      </w:pPr>
      <w:bookmarkStart w:id="2" w:name="_Toc132813791"/>
      <w:r>
        <w:rPr>
          <w:b/>
          <w:bCs/>
          <w:lang w:val="en-GB"/>
        </w:rPr>
        <w:t>Method A</w:t>
      </w:r>
      <w:bookmarkEnd w:id="2"/>
    </w:p>
    <w:p w14:paraId="6C8AC768" w14:textId="77777777" w:rsidR="008E4676" w:rsidRDefault="008E4676" w:rsidP="008E4676">
      <w:pPr>
        <w:tabs>
          <w:tab w:val="left" w:pos="1134"/>
          <w:tab w:val="left" w:pos="1871"/>
          <w:tab w:val="left" w:pos="2268"/>
        </w:tabs>
        <w:overflowPunct w:val="0"/>
        <w:autoSpaceDE w:val="0"/>
        <w:autoSpaceDN w:val="0"/>
        <w:adjustRightInd w:val="0"/>
        <w:spacing w:before="120"/>
        <w:jc w:val="both"/>
        <w:rPr>
          <w:rFonts w:eastAsia="MS Mincho"/>
          <w:szCs w:val="20"/>
          <w:lang w:val="en-GB"/>
        </w:rPr>
      </w:pPr>
      <w:r>
        <w:rPr>
          <w:rFonts w:eastAsia="MS Mincho"/>
          <w:szCs w:val="20"/>
          <w:lang w:val="en-GB"/>
        </w:rPr>
        <w:t xml:space="preserve">Method A proposes to suppress RR No. </w:t>
      </w:r>
      <w:r>
        <w:rPr>
          <w:rFonts w:eastAsia="MS Mincho"/>
          <w:b/>
          <w:szCs w:val="20"/>
          <w:lang w:val="en-GB"/>
        </w:rPr>
        <w:t>5.484B</w:t>
      </w:r>
      <w:r>
        <w:rPr>
          <w:rFonts w:eastAsia="MS Mincho"/>
          <w:szCs w:val="20"/>
          <w:lang w:val="en-GB"/>
        </w:rPr>
        <w:t xml:space="preserve"> together with Resolution </w:t>
      </w:r>
      <w:r>
        <w:rPr>
          <w:rFonts w:eastAsia="MS Mincho"/>
          <w:b/>
          <w:szCs w:val="20"/>
          <w:lang w:val="en-GB"/>
        </w:rPr>
        <w:t>155</w:t>
      </w:r>
      <w:r>
        <w:rPr>
          <w:rFonts w:eastAsia="MS Mincho"/>
          <w:szCs w:val="20"/>
          <w:lang w:val="en-GB"/>
        </w:rPr>
        <w:t xml:space="preserve"> </w:t>
      </w:r>
      <w:r>
        <w:rPr>
          <w:rFonts w:eastAsia="MS Mincho"/>
          <w:b/>
          <w:bCs/>
          <w:szCs w:val="20"/>
          <w:lang w:val="en-GB"/>
        </w:rPr>
        <w:t>(Rev</w:t>
      </w:r>
      <w:r>
        <w:rPr>
          <w:rFonts w:eastAsia="MS Mincho"/>
          <w:szCs w:val="20"/>
          <w:lang w:val="en-GB"/>
        </w:rPr>
        <w:t>.</w:t>
      </w:r>
      <w:r>
        <w:rPr>
          <w:rFonts w:eastAsia="MS Mincho"/>
          <w:b/>
          <w:bCs/>
          <w:szCs w:val="20"/>
          <w:lang w:val="en-GB"/>
        </w:rPr>
        <w:t>WRC-19)</w:t>
      </w:r>
      <w:r>
        <w:rPr>
          <w:rFonts w:eastAsia="MS Mincho"/>
          <w:szCs w:val="20"/>
          <w:lang w:val="en-GB"/>
        </w:rPr>
        <w:t xml:space="preserve"> as well as Resolution </w:t>
      </w:r>
      <w:r>
        <w:rPr>
          <w:rFonts w:eastAsia="MS Mincho"/>
          <w:b/>
          <w:szCs w:val="20"/>
          <w:lang w:val="en-GB"/>
        </w:rPr>
        <w:t xml:space="preserve">171 </w:t>
      </w:r>
      <w:r>
        <w:rPr>
          <w:rFonts w:eastAsia="MS Mincho"/>
          <w:b/>
          <w:bCs/>
          <w:szCs w:val="20"/>
          <w:lang w:val="en-GB"/>
        </w:rPr>
        <w:t>(WRC-19)</w:t>
      </w:r>
      <w:r>
        <w:rPr>
          <w:rFonts w:eastAsia="MS Mincho"/>
          <w:szCs w:val="20"/>
          <w:lang w:val="en-GB"/>
        </w:rPr>
        <w:t>.</w:t>
      </w:r>
    </w:p>
    <w:p w14:paraId="2310C304" w14:textId="77777777" w:rsidR="008E4676" w:rsidRDefault="008E4676" w:rsidP="008E4676">
      <w:pPr>
        <w:tabs>
          <w:tab w:val="left" w:pos="1134"/>
          <w:tab w:val="left" w:pos="1871"/>
          <w:tab w:val="left" w:pos="2268"/>
        </w:tabs>
        <w:overflowPunct w:val="0"/>
        <w:autoSpaceDE w:val="0"/>
        <w:autoSpaceDN w:val="0"/>
        <w:adjustRightInd w:val="0"/>
        <w:spacing w:before="120"/>
        <w:jc w:val="both"/>
        <w:rPr>
          <w:rFonts w:eastAsia="MS Mincho"/>
          <w:szCs w:val="20"/>
          <w:lang w:val="en-GB" w:eastAsia="zh-CN"/>
        </w:rPr>
      </w:pPr>
      <w:r>
        <w:rPr>
          <w:rFonts w:eastAsia="MS Mincho"/>
          <w:b/>
          <w:szCs w:val="32"/>
          <w:lang w:val="en-GB"/>
        </w:rPr>
        <w:t>Reasons:</w:t>
      </w:r>
      <w:r>
        <w:rPr>
          <w:rFonts w:eastAsia="MS Mincho"/>
          <w:bCs/>
          <w:szCs w:val="32"/>
          <w:lang w:val="en-GB"/>
        </w:rPr>
        <w:t xml:space="preserve"> </w:t>
      </w:r>
      <w:r>
        <w:rPr>
          <w:rFonts w:eastAsia="MS Mincho"/>
          <w:bCs/>
          <w:szCs w:val="32"/>
          <w:lang w:val="en-GB"/>
        </w:rPr>
        <w:tab/>
      </w:r>
      <w:r>
        <w:rPr>
          <w:rFonts w:eastAsia="MS Mincho"/>
          <w:szCs w:val="20"/>
          <w:lang w:val="en-GB"/>
        </w:rPr>
        <w:t xml:space="preserve">Resolution </w:t>
      </w:r>
      <w:r>
        <w:rPr>
          <w:rFonts w:eastAsia="MS Mincho"/>
          <w:b/>
          <w:szCs w:val="20"/>
          <w:lang w:val="en-GB"/>
        </w:rPr>
        <w:t>171 (WRC-19)</w:t>
      </w:r>
      <w:r>
        <w:rPr>
          <w:rFonts w:eastAsia="MS Mincho"/>
          <w:szCs w:val="20"/>
          <w:lang w:val="en-GB"/>
        </w:rPr>
        <w:t xml:space="preserve"> is requiring a review and possible revision of Resolution </w:t>
      </w:r>
      <w:r>
        <w:rPr>
          <w:rFonts w:eastAsia="MS Mincho"/>
          <w:b/>
          <w:szCs w:val="20"/>
          <w:lang w:val="en-GB"/>
        </w:rPr>
        <w:t>155 (Rev.WRC-19)</w:t>
      </w:r>
      <w:r>
        <w:rPr>
          <w:rFonts w:eastAsia="MS Mincho"/>
          <w:szCs w:val="20"/>
          <w:lang w:val="en-GB"/>
        </w:rPr>
        <w:t xml:space="preserve"> since this in its current state does not enable operation of UA earth stations. This agenda item stems from agenda item 1.3 of WRC-12 and agenda item 1.5 of WRC-15 and consideration of the matter of WRC-19 which resulted in Resolution </w:t>
      </w:r>
      <w:r>
        <w:rPr>
          <w:rFonts w:eastAsia="MS Mincho"/>
          <w:b/>
          <w:szCs w:val="20"/>
          <w:lang w:val="en-GB"/>
        </w:rPr>
        <w:t>171 (WRC-19)</w:t>
      </w:r>
      <w:r>
        <w:rPr>
          <w:rFonts w:eastAsia="MS Mincho"/>
          <w:szCs w:val="20"/>
          <w:lang w:val="en-GB"/>
        </w:rPr>
        <w:t xml:space="preserve">. </w:t>
      </w:r>
      <w:r>
        <w:rPr>
          <w:rFonts w:eastAsia="MS Mincho"/>
          <w:szCs w:val="20"/>
          <w:lang w:val="en-GB" w:eastAsia="zh-CN"/>
        </w:rPr>
        <w:t xml:space="preserve">After more than ten years of extensive studies, there are still key problems that have not been resolved, in particular the contradiction between the safety nature of the operation of UAS and the non-safety status of the </w:t>
      </w:r>
      <w:r>
        <w:rPr>
          <w:rFonts w:eastAsia="MS Mincho"/>
          <w:szCs w:val="20"/>
          <w:lang w:val="en-GB"/>
        </w:rPr>
        <w:t>fixed-satellite service</w:t>
      </w:r>
      <w:r>
        <w:rPr>
          <w:rFonts w:eastAsia="MS Mincho"/>
          <w:szCs w:val="20"/>
          <w:lang w:val="en-GB" w:eastAsia="zh-CN"/>
        </w:rPr>
        <w:t>.</w:t>
      </w:r>
    </w:p>
    <w:p w14:paraId="55162906" w14:textId="77777777" w:rsidR="008E4676" w:rsidRDefault="008E4676" w:rsidP="008E4676">
      <w:pPr>
        <w:tabs>
          <w:tab w:val="left" w:pos="1134"/>
          <w:tab w:val="left" w:pos="1871"/>
          <w:tab w:val="left" w:pos="2268"/>
        </w:tabs>
        <w:overflowPunct w:val="0"/>
        <w:autoSpaceDE w:val="0"/>
        <w:autoSpaceDN w:val="0"/>
        <w:adjustRightInd w:val="0"/>
        <w:spacing w:before="120"/>
        <w:jc w:val="both"/>
        <w:rPr>
          <w:rFonts w:eastAsia="MS Mincho"/>
          <w:szCs w:val="20"/>
          <w:lang w:val="en-GB"/>
        </w:rPr>
      </w:pPr>
      <w:r>
        <w:rPr>
          <w:rFonts w:eastAsia="MS Mincho"/>
          <w:szCs w:val="20"/>
          <w:lang w:val="en-GB" w:eastAsia="zh-CN"/>
        </w:rPr>
        <w:t xml:space="preserve">The FSS frequency bands identified in </w:t>
      </w:r>
      <w:r>
        <w:rPr>
          <w:rFonts w:eastAsia="MS Mincho"/>
          <w:i/>
          <w:iCs/>
          <w:szCs w:val="20"/>
          <w:lang w:val="en-GB" w:eastAsia="zh-CN"/>
        </w:rPr>
        <w:t xml:space="preserve">resolves </w:t>
      </w:r>
      <w:r>
        <w:rPr>
          <w:rFonts w:eastAsia="MS Mincho"/>
          <w:szCs w:val="20"/>
          <w:lang w:val="en-GB" w:eastAsia="zh-CN"/>
        </w:rPr>
        <w:t xml:space="preserve">1 of Resolution </w:t>
      </w:r>
      <w:r>
        <w:rPr>
          <w:rFonts w:eastAsia="MS Mincho"/>
          <w:b/>
          <w:bCs/>
          <w:szCs w:val="20"/>
          <w:lang w:val="en-GB" w:eastAsia="zh-CN"/>
        </w:rPr>
        <w:t>155 (Rev.WRC-19)</w:t>
      </w:r>
      <w:r>
        <w:rPr>
          <w:rFonts w:eastAsia="MS Mincho"/>
          <w:szCs w:val="20"/>
          <w:lang w:val="en-GB" w:eastAsia="zh-CN"/>
        </w:rPr>
        <w:t xml:space="preserve"> are heavily congested and interference is a regular occurrence, also into FSS networks that has completed all the frequency coordination. The communication link of the UAS CNPC via FSS consequently can be interrupted by various forms of interference and is therefore not sufficiently robust. </w:t>
      </w:r>
      <w:r>
        <w:rPr>
          <w:rFonts w:eastAsia="MS Mincho"/>
          <w:szCs w:val="20"/>
          <w:lang w:val="en-GB"/>
        </w:rPr>
        <w:t>This could negatively impact the ability to achieve the required service quality needed for safe operation and could even render it impossible to use. The interruption of the CNPC link would be an incident affecting the safety of aviation, including the safety of people.</w:t>
      </w:r>
    </w:p>
    <w:p w14:paraId="4E30AA57" w14:textId="77777777" w:rsidR="008E4676" w:rsidRDefault="008E4676" w:rsidP="008E4676">
      <w:pPr>
        <w:tabs>
          <w:tab w:val="left" w:pos="1134"/>
          <w:tab w:val="left" w:pos="1871"/>
          <w:tab w:val="left" w:pos="2268"/>
        </w:tabs>
        <w:overflowPunct w:val="0"/>
        <w:autoSpaceDE w:val="0"/>
        <w:autoSpaceDN w:val="0"/>
        <w:adjustRightInd w:val="0"/>
        <w:spacing w:before="120"/>
        <w:jc w:val="both"/>
        <w:rPr>
          <w:rFonts w:eastAsia="MS Mincho"/>
          <w:szCs w:val="20"/>
          <w:lang w:val="en-GB"/>
        </w:rPr>
      </w:pPr>
      <w:r>
        <w:rPr>
          <w:rFonts w:eastAsia="MS Mincho"/>
          <w:szCs w:val="20"/>
          <w:lang w:val="en-GB"/>
        </w:rPr>
        <w:lastRenderedPageBreak/>
        <w:t xml:space="preserve">With no satisfactory solution identified for the operation of UA earth stations, it therefore would be necessary to suppress RR No. </w:t>
      </w:r>
      <w:r>
        <w:rPr>
          <w:rFonts w:eastAsia="MS Mincho"/>
          <w:b/>
          <w:bCs/>
          <w:szCs w:val="20"/>
          <w:lang w:val="en-GB"/>
        </w:rPr>
        <w:t>5.484B</w:t>
      </w:r>
      <w:r>
        <w:rPr>
          <w:rFonts w:eastAsia="MS Mincho"/>
          <w:szCs w:val="20"/>
          <w:lang w:val="en-GB"/>
        </w:rPr>
        <w:t xml:space="preserve"> together with Resolution </w:t>
      </w:r>
      <w:r>
        <w:rPr>
          <w:rFonts w:eastAsia="MS Mincho"/>
          <w:b/>
          <w:bCs/>
          <w:szCs w:val="20"/>
          <w:lang w:val="en-GB"/>
        </w:rPr>
        <w:t>155 (Rev.WRC-19)</w:t>
      </w:r>
      <w:r>
        <w:rPr>
          <w:rFonts w:eastAsia="MS Mincho"/>
          <w:szCs w:val="20"/>
          <w:lang w:val="en-GB"/>
        </w:rPr>
        <w:t xml:space="preserve"> as well as Resolution </w:t>
      </w:r>
      <w:r>
        <w:rPr>
          <w:rFonts w:eastAsia="MS Mincho"/>
          <w:b/>
          <w:bCs/>
          <w:szCs w:val="20"/>
          <w:lang w:val="en-GB"/>
        </w:rPr>
        <w:t>171 (WRC-19)</w:t>
      </w:r>
      <w:r>
        <w:rPr>
          <w:rFonts w:eastAsia="MS Mincho"/>
          <w:szCs w:val="20"/>
          <w:lang w:val="en-GB"/>
        </w:rPr>
        <w:t>.</w:t>
      </w:r>
    </w:p>
    <w:p w14:paraId="3C03994F" w14:textId="77777777" w:rsidR="008E4676" w:rsidRDefault="008E4676" w:rsidP="008E4676">
      <w:pPr>
        <w:tabs>
          <w:tab w:val="left" w:pos="1134"/>
          <w:tab w:val="left" w:pos="1871"/>
          <w:tab w:val="left" w:pos="2268"/>
        </w:tabs>
        <w:overflowPunct w:val="0"/>
        <w:autoSpaceDE w:val="0"/>
        <w:autoSpaceDN w:val="0"/>
        <w:adjustRightInd w:val="0"/>
        <w:spacing w:before="120"/>
        <w:jc w:val="both"/>
        <w:rPr>
          <w:rFonts w:eastAsia="MS Mincho"/>
          <w:szCs w:val="20"/>
          <w:lang w:val="en-GB"/>
        </w:rPr>
      </w:pPr>
    </w:p>
    <w:p w14:paraId="711D2D09" w14:textId="77777777" w:rsidR="008E4676" w:rsidRDefault="008E4676" w:rsidP="008E4676">
      <w:pPr>
        <w:jc w:val="both"/>
        <w:rPr>
          <w:b/>
          <w:bCs/>
          <w:lang w:val="en-GB"/>
        </w:rPr>
      </w:pPr>
      <w:bookmarkStart w:id="3" w:name="_Toc132813792"/>
      <w:r>
        <w:rPr>
          <w:b/>
          <w:bCs/>
          <w:lang w:val="en-GB"/>
        </w:rPr>
        <w:t>Method B</w:t>
      </w:r>
      <w:bookmarkEnd w:id="3"/>
    </w:p>
    <w:p w14:paraId="07559B19" w14:textId="77777777" w:rsidR="008E4676" w:rsidRDefault="008E4676" w:rsidP="008E4676">
      <w:pPr>
        <w:tabs>
          <w:tab w:val="left" w:pos="1134"/>
          <w:tab w:val="left" w:pos="1871"/>
          <w:tab w:val="left" w:pos="2268"/>
        </w:tabs>
        <w:overflowPunct w:val="0"/>
        <w:autoSpaceDE w:val="0"/>
        <w:autoSpaceDN w:val="0"/>
        <w:adjustRightInd w:val="0"/>
        <w:spacing w:before="120"/>
        <w:jc w:val="both"/>
        <w:rPr>
          <w:rFonts w:eastAsia="MS Mincho"/>
          <w:szCs w:val="20"/>
          <w:lang w:val="en-GB"/>
        </w:rPr>
      </w:pPr>
      <w:r>
        <w:rPr>
          <w:rFonts w:eastAsia="MS Mincho"/>
          <w:szCs w:val="20"/>
          <w:lang w:val="en-GB"/>
        </w:rPr>
        <w:t xml:space="preserve">Method B intends to revise Resolution </w:t>
      </w:r>
      <w:r>
        <w:rPr>
          <w:rFonts w:eastAsia="MS Mincho"/>
          <w:b/>
          <w:szCs w:val="20"/>
          <w:lang w:val="en-GB"/>
        </w:rPr>
        <w:t>155</w:t>
      </w:r>
      <w:r>
        <w:rPr>
          <w:rFonts w:eastAsia="MS Mincho"/>
          <w:szCs w:val="20"/>
          <w:lang w:val="en-GB"/>
        </w:rPr>
        <w:t xml:space="preserve"> </w:t>
      </w:r>
      <w:r>
        <w:rPr>
          <w:rFonts w:eastAsia="MS Mincho"/>
          <w:b/>
          <w:bCs/>
          <w:szCs w:val="20"/>
          <w:lang w:val="en-GB"/>
        </w:rPr>
        <w:t>(Rev.WRC-19)</w:t>
      </w:r>
      <w:r>
        <w:rPr>
          <w:rFonts w:eastAsia="MS Mincho"/>
          <w:szCs w:val="20"/>
          <w:lang w:val="en-GB"/>
        </w:rPr>
        <w:t xml:space="preserve"> in accordance with Resolution </w:t>
      </w:r>
      <w:r>
        <w:rPr>
          <w:rFonts w:eastAsia="MS Mincho"/>
          <w:b/>
          <w:szCs w:val="20"/>
          <w:lang w:val="en-GB"/>
        </w:rPr>
        <w:t xml:space="preserve">171 </w:t>
      </w:r>
      <w:r>
        <w:rPr>
          <w:rFonts w:eastAsia="MS Mincho"/>
          <w:b/>
          <w:bCs/>
          <w:szCs w:val="20"/>
          <w:lang w:val="en-GB"/>
        </w:rPr>
        <w:t xml:space="preserve">(WRC-19) </w:t>
      </w:r>
      <w:r>
        <w:rPr>
          <w:rFonts w:eastAsia="MS Mincho"/>
          <w:szCs w:val="20"/>
          <w:lang w:val="en-GB"/>
        </w:rPr>
        <w:t xml:space="preserve">and consequently suppress Resolution </w:t>
      </w:r>
      <w:r>
        <w:rPr>
          <w:rFonts w:eastAsia="MS Mincho"/>
          <w:b/>
          <w:szCs w:val="20"/>
          <w:lang w:val="en-GB"/>
        </w:rPr>
        <w:t>171 </w:t>
      </w:r>
      <w:r>
        <w:rPr>
          <w:rFonts w:eastAsia="MS Mincho"/>
          <w:b/>
          <w:bCs/>
          <w:szCs w:val="20"/>
          <w:lang w:val="en-GB"/>
        </w:rPr>
        <w:t>(WRC-19)</w:t>
      </w:r>
      <w:r>
        <w:rPr>
          <w:rFonts w:eastAsia="MS Mincho"/>
          <w:szCs w:val="20"/>
          <w:lang w:val="en-GB"/>
        </w:rPr>
        <w:t xml:space="preserve">. In addition, this method contains the revision of RR No. </w:t>
      </w:r>
      <w:r>
        <w:rPr>
          <w:rFonts w:eastAsia="MS Mincho"/>
          <w:b/>
          <w:szCs w:val="20"/>
          <w:lang w:val="en-GB"/>
        </w:rPr>
        <w:t>5.484B</w:t>
      </w:r>
      <w:r>
        <w:rPr>
          <w:rFonts w:eastAsia="MS Mincho"/>
          <w:szCs w:val="20"/>
          <w:lang w:val="en-GB"/>
        </w:rPr>
        <w:t xml:space="preserve"> as an option.</w:t>
      </w:r>
    </w:p>
    <w:p w14:paraId="7A2BC60D" w14:textId="77777777" w:rsidR="008E4676" w:rsidRDefault="008E4676" w:rsidP="008E4676">
      <w:pPr>
        <w:tabs>
          <w:tab w:val="left" w:pos="284"/>
          <w:tab w:val="left" w:pos="1134"/>
          <w:tab w:val="left" w:pos="1871"/>
          <w:tab w:val="left" w:pos="2268"/>
        </w:tabs>
        <w:overflowPunct w:val="0"/>
        <w:autoSpaceDE w:val="0"/>
        <w:autoSpaceDN w:val="0"/>
        <w:adjustRightInd w:val="0"/>
        <w:spacing w:before="80"/>
        <w:jc w:val="both"/>
        <w:rPr>
          <w:rFonts w:eastAsia="Batang"/>
          <w:i/>
          <w:iCs/>
          <w:szCs w:val="20"/>
          <w:lang w:val="en-GB"/>
        </w:rPr>
      </w:pPr>
      <w:r>
        <w:rPr>
          <w:rFonts w:eastAsia="Batang"/>
          <w:i/>
          <w:iCs/>
          <w:szCs w:val="20"/>
          <w:lang w:val="en-GB"/>
        </w:rPr>
        <w:t xml:space="preserve">Note: No agreement was reached in respect of text for Method B. For this reason, three alternative texts are provided, labelled Method B1, B2 and B3. The text of Method B1 is a reproduction of the draft CPM text as contained in Document </w:t>
      </w:r>
      <w:hyperlink r:id="rId9" w:history="1">
        <w:r>
          <w:rPr>
            <w:rStyle w:val="Hyperlink"/>
            <w:rFonts w:eastAsia="Batang"/>
            <w:i/>
            <w:iCs/>
            <w:szCs w:val="20"/>
            <w:lang w:val="en-GB"/>
          </w:rPr>
          <w:t>CPM23-2/1</w:t>
        </w:r>
      </w:hyperlink>
      <w:r>
        <w:rPr>
          <w:rFonts w:eastAsia="Batang"/>
          <w:i/>
          <w:iCs/>
          <w:szCs w:val="20"/>
          <w:lang w:val="en-GB"/>
        </w:rPr>
        <w:t>. Methods B2 and B3 are mergers of contributions received at CPM23-2 where the merging is conducted by the respective authors and are provided for information. CPM23-2 had no time to review or discuss the content of the text for these methods and no agreement to these by CPM therefore should be assumed.</w:t>
      </w:r>
    </w:p>
    <w:p w14:paraId="7C59D4DC" w14:textId="77777777" w:rsidR="008E4676" w:rsidRDefault="008E4676" w:rsidP="008E4676">
      <w:pPr>
        <w:tabs>
          <w:tab w:val="left" w:pos="284"/>
          <w:tab w:val="left" w:pos="1134"/>
          <w:tab w:val="left" w:pos="1871"/>
          <w:tab w:val="left" w:pos="2268"/>
        </w:tabs>
        <w:overflowPunct w:val="0"/>
        <w:autoSpaceDE w:val="0"/>
        <w:autoSpaceDN w:val="0"/>
        <w:adjustRightInd w:val="0"/>
        <w:spacing w:before="80"/>
        <w:jc w:val="both"/>
        <w:rPr>
          <w:rFonts w:eastAsia="Batang"/>
          <w:i/>
          <w:iCs/>
          <w:szCs w:val="20"/>
          <w:lang w:val="en-GB"/>
        </w:rPr>
      </w:pPr>
    </w:p>
    <w:p w14:paraId="1D47EABE" w14:textId="77777777" w:rsidR="008E4676" w:rsidRDefault="008E4676" w:rsidP="008E4676">
      <w:pPr>
        <w:jc w:val="both"/>
        <w:rPr>
          <w:b/>
          <w:bCs/>
          <w:lang w:val="en-GB" w:eastAsia="en-GB"/>
        </w:rPr>
      </w:pPr>
      <w:r>
        <w:rPr>
          <w:b/>
          <w:bCs/>
          <w:lang w:val="en-GB" w:eastAsia="en-GB"/>
        </w:rPr>
        <w:t>Method B1</w:t>
      </w:r>
    </w:p>
    <w:p w14:paraId="6B054760" w14:textId="77777777" w:rsidR="008E4676" w:rsidRDefault="008E4676" w:rsidP="008E4676">
      <w:pPr>
        <w:tabs>
          <w:tab w:val="left" w:pos="1134"/>
          <w:tab w:val="left" w:pos="1871"/>
          <w:tab w:val="left" w:pos="2268"/>
        </w:tabs>
        <w:overflowPunct w:val="0"/>
        <w:autoSpaceDE w:val="0"/>
        <w:autoSpaceDN w:val="0"/>
        <w:adjustRightInd w:val="0"/>
        <w:spacing w:before="120"/>
        <w:jc w:val="both"/>
        <w:rPr>
          <w:rFonts w:eastAsia="MS Mincho"/>
          <w:szCs w:val="20"/>
          <w:lang w:val="en-GB"/>
        </w:rPr>
      </w:pPr>
      <w:r>
        <w:rPr>
          <w:rFonts w:eastAsia="MS Mincho"/>
          <w:szCs w:val="20"/>
          <w:lang w:val="en-GB"/>
        </w:rPr>
        <w:t xml:space="preserve">Resolution </w:t>
      </w:r>
      <w:r>
        <w:rPr>
          <w:rFonts w:eastAsia="MS Mincho"/>
          <w:b/>
          <w:bCs/>
          <w:szCs w:val="20"/>
          <w:lang w:val="en-GB"/>
        </w:rPr>
        <w:t>155 (Rev.WRC-19)</w:t>
      </w:r>
      <w:r>
        <w:rPr>
          <w:rFonts w:eastAsia="MS Mincho"/>
          <w:szCs w:val="20"/>
          <w:lang w:val="en-GB"/>
        </w:rPr>
        <w:t xml:space="preserve"> is revised in view of the principles listed in section 2/1.8/3.2 above. In particular it is intended to:</w:t>
      </w:r>
    </w:p>
    <w:p w14:paraId="44900B3C" w14:textId="77777777" w:rsidR="008E4676" w:rsidRDefault="008E4676" w:rsidP="008E4676">
      <w:pPr>
        <w:tabs>
          <w:tab w:val="left" w:pos="1134"/>
          <w:tab w:val="left" w:pos="1871"/>
          <w:tab w:val="left" w:pos="2608"/>
          <w:tab w:val="left" w:pos="3345"/>
        </w:tabs>
        <w:overflowPunct w:val="0"/>
        <w:autoSpaceDE w:val="0"/>
        <w:autoSpaceDN w:val="0"/>
        <w:adjustRightInd w:val="0"/>
        <w:spacing w:before="80"/>
        <w:ind w:left="1134" w:hanging="1134"/>
        <w:jc w:val="both"/>
        <w:rPr>
          <w:rFonts w:eastAsia="Batang"/>
          <w:szCs w:val="20"/>
          <w:lang w:val="en-GB" w:eastAsia="en-GB"/>
        </w:rPr>
      </w:pPr>
      <w:r>
        <w:rPr>
          <w:rFonts w:eastAsia="Batang"/>
          <w:szCs w:val="20"/>
          <w:lang w:val="en-GB" w:eastAsia="en-GB"/>
        </w:rPr>
        <w:t>•</w:t>
      </w:r>
      <w:r>
        <w:rPr>
          <w:rFonts w:eastAsia="Batang"/>
          <w:szCs w:val="20"/>
          <w:lang w:val="en-GB" w:eastAsia="en-GB"/>
        </w:rPr>
        <w:tab/>
        <w:t xml:space="preserve">clearly separate between the responsibilities of ICAO and </w:t>
      </w:r>
      <w:proofErr w:type="gramStart"/>
      <w:r>
        <w:rPr>
          <w:rFonts w:eastAsia="Batang"/>
          <w:szCs w:val="20"/>
          <w:lang w:val="en-GB" w:eastAsia="en-GB"/>
        </w:rPr>
        <w:t>ITU;</w:t>
      </w:r>
      <w:proofErr w:type="gramEnd"/>
    </w:p>
    <w:p w14:paraId="650BE339" w14:textId="77777777" w:rsidR="008E4676" w:rsidRDefault="008E4676" w:rsidP="008E4676">
      <w:pPr>
        <w:tabs>
          <w:tab w:val="left" w:pos="1134"/>
          <w:tab w:val="left" w:pos="1871"/>
          <w:tab w:val="left" w:pos="2608"/>
          <w:tab w:val="left" w:pos="3345"/>
        </w:tabs>
        <w:overflowPunct w:val="0"/>
        <w:autoSpaceDE w:val="0"/>
        <w:autoSpaceDN w:val="0"/>
        <w:adjustRightInd w:val="0"/>
        <w:spacing w:before="80"/>
        <w:ind w:left="1134" w:hanging="1134"/>
        <w:jc w:val="both"/>
        <w:rPr>
          <w:rFonts w:eastAsia="Batang"/>
          <w:szCs w:val="20"/>
          <w:lang w:val="en-GB" w:eastAsia="en-GB"/>
        </w:rPr>
      </w:pPr>
      <w:r>
        <w:rPr>
          <w:rFonts w:eastAsia="Batang"/>
          <w:szCs w:val="20"/>
          <w:lang w:val="en-GB" w:eastAsia="en-GB"/>
        </w:rPr>
        <w:t>•</w:t>
      </w:r>
      <w:r>
        <w:rPr>
          <w:rFonts w:eastAsia="Batang"/>
          <w:szCs w:val="20"/>
          <w:lang w:val="en-GB" w:eastAsia="en-GB"/>
        </w:rPr>
        <w:tab/>
        <w:t xml:space="preserve">consider how to ensure the safety of flight while recognizing the issue of RR No. </w:t>
      </w:r>
      <w:r>
        <w:rPr>
          <w:rFonts w:eastAsia="Batang"/>
          <w:b/>
          <w:bCs/>
          <w:szCs w:val="20"/>
          <w:lang w:val="en-GB" w:eastAsia="en-GB"/>
        </w:rPr>
        <w:t>4.10</w:t>
      </w:r>
      <w:r>
        <w:rPr>
          <w:rFonts w:eastAsia="Batang"/>
          <w:szCs w:val="20"/>
          <w:lang w:val="en-GB" w:eastAsia="en-GB"/>
        </w:rPr>
        <w:t>;</w:t>
      </w:r>
    </w:p>
    <w:p w14:paraId="1418E72A" w14:textId="77777777" w:rsidR="008E4676" w:rsidRDefault="008E4676" w:rsidP="008E4676">
      <w:pPr>
        <w:tabs>
          <w:tab w:val="left" w:pos="1134"/>
          <w:tab w:val="left" w:pos="1871"/>
          <w:tab w:val="left" w:pos="2608"/>
          <w:tab w:val="left" w:pos="3345"/>
        </w:tabs>
        <w:overflowPunct w:val="0"/>
        <w:autoSpaceDE w:val="0"/>
        <w:autoSpaceDN w:val="0"/>
        <w:adjustRightInd w:val="0"/>
        <w:spacing w:before="80"/>
        <w:ind w:left="1134" w:hanging="1134"/>
        <w:jc w:val="both"/>
        <w:rPr>
          <w:rFonts w:eastAsia="Batang"/>
          <w:szCs w:val="20"/>
          <w:lang w:val="en-GB" w:eastAsia="en-GB"/>
        </w:rPr>
      </w:pPr>
      <w:r>
        <w:rPr>
          <w:rFonts w:eastAsia="Batang"/>
          <w:szCs w:val="20"/>
          <w:lang w:val="en-GB" w:eastAsia="en-GB"/>
        </w:rPr>
        <w:t>•</w:t>
      </w:r>
      <w:r>
        <w:rPr>
          <w:rFonts w:eastAsia="Batang"/>
          <w:szCs w:val="20"/>
          <w:lang w:val="en-GB" w:eastAsia="en-GB"/>
        </w:rPr>
        <w:tab/>
        <w:t xml:space="preserve">remove ambiguities contained in Resolution </w:t>
      </w:r>
      <w:r>
        <w:rPr>
          <w:rFonts w:eastAsia="Batang"/>
          <w:b/>
          <w:bCs/>
          <w:szCs w:val="20"/>
          <w:lang w:val="en-GB" w:eastAsia="en-GB"/>
        </w:rPr>
        <w:t>155</w:t>
      </w:r>
      <w:r>
        <w:rPr>
          <w:rFonts w:eastAsia="Batang"/>
          <w:szCs w:val="20"/>
          <w:lang w:val="en-GB" w:eastAsia="en-GB"/>
        </w:rPr>
        <w:t xml:space="preserve"> </w:t>
      </w:r>
      <w:r>
        <w:rPr>
          <w:rFonts w:eastAsia="Batang"/>
          <w:b/>
          <w:bCs/>
          <w:szCs w:val="20"/>
          <w:lang w:val="en-GB" w:eastAsia="en-GB"/>
        </w:rPr>
        <w:t>(Rev.WRC-19)</w:t>
      </w:r>
      <w:r>
        <w:rPr>
          <w:rFonts w:eastAsia="Batang"/>
          <w:szCs w:val="20"/>
          <w:lang w:val="en-GB" w:eastAsia="en-GB"/>
        </w:rPr>
        <w:t>;</w:t>
      </w:r>
    </w:p>
    <w:p w14:paraId="1A68E77D" w14:textId="77777777" w:rsidR="008E4676" w:rsidRDefault="008E4676" w:rsidP="008E4676">
      <w:pPr>
        <w:tabs>
          <w:tab w:val="left" w:pos="1134"/>
          <w:tab w:val="left" w:pos="1871"/>
          <w:tab w:val="left" w:pos="2608"/>
          <w:tab w:val="left" w:pos="3345"/>
        </w:tabs>
        <w:overflowPunct w:val="0"/>
        <w:autoSpaceDE w:val="0"/>
        <w:autoSpaceDN w:val="0"/>
        <w:adjustRightInd w:val="0"/>
        <w:spacing w:before="80"/>
        <w:ind w:left="1134" w:hanging="1134"/>
        <w:jc w:val="both"/>
        <w:rPr>
          <w:rFonts w:eastAsia="Batang"/>
          <w:szCs w:val="20"/>
          <w:lang w:val="en-GB" w:eastAsia="en-GB"/>
        </w:rPr>
      </w:pPr>
      <w:r>
        <w:rPr>
          <w:rFonts w:eastAsia="Batang"/>
          <w:szCs w:val="20"/>
          <w:lang w:val="en-GB" w:eastAsia="en-GB"/>
        </w:rPr>
        <w:t>•</w:t>
      </w:r>
      <w:r>
        <w:rPr>
          <w:rFonts w:eastAsia="Batang"/>
          <w:szCs w:val="20"/>
          <w:lang w:val="en-GB" w:eastAsia="en-GB"/>
        </w:rPr>
        <w:tab/>
        <w:t>clarify that UAS CNPC is an operation under the primary FSS while avoiding adverse effects to terrestrial stations;</w:t>
      </w:r>
    </w:p>
    <w:p w14:paraId="458566D9" w14:textId="77777777" w:rsidR="008E4676" w:rsidRDefault="008E4676" w:rsidP="008E4676">
      <w:pPr>
        <w:tabs>
          <w:tab w:val="left" w:pos="1134"/>
          <w:tab w:val="left" w:pos="1871"/>
          <w:tab w:val="left" w:pos="2608"/>
          <w:tab w:val="left" w:pos="3345"/>
        </w:tabs>
        <w:overflowPunct w:val="0"/>
        <w:autoSpaceDE w:val="0"/>
        <w:autoSpaceDN w:val="0"/>
        <w:adjustRightInd w:val="0"/>
        <w:spacing w:before="80"/>
        <w:ind w:left="1134" w:hanging="1134"/>
        <w:jc w:val="both"/>
        <w:rPr>
          <w:rFonts w:eastAsia="Batang"/>
          <w:szCs w:val="20"/>
          <w:lang w:val="en-GB" w:eastAsia="en-GB"/>
        </w:rPr>
      </w:pPr>
      <w:r>
        <w:rPr>
          <w:rFonts w:eastAsia="Batang"/>
          <w:szCs w:val="20"/>
          <w:lang w:val="en-GB" w:eastAsia="en-GB"/>
        </w:rPr>
        <w:t>•</w:t>
      </w:r>
      <w:r>
        <w:rPr>
          <w:rFonts w:eastAsia="Batang"/>
          <w:szCs w:val="20"/>
          <w:lang w:val="en-GB" w:eastAsia="en-GB"/>
        </w:rPr>
        <w:tab/>
        <w:t>maintain the existing procedure for the FSS network coordination as well as for bilateral coordination agreements;</w:t>
      </w:r>
    </w:p>
    <w:p w14:paraId="29C774C4" w14:textId="77777777" w:rsidR="008E4676" w:rsidRDefault="008E4676" w:rsidP="008E4676">
      <w:pPr>
        <w:tabs>
          <w:tab w:val="left" w:pos="1134"/>
          <w:tab w:val="left" w:pos="1871"/>
          <w:tab w:val="left" w:pos="2608"/>
          <w:tab w:val="left" w:pos="3345"/>
        </w:tabs>
        <w:overflowPunct w:val="0"/>
        <w:autoSpaceDE w:val="0"/>
        <w:autoSpaceDN w:val="0"/>
        <w:adjustRightInd w:val="0"/>
        <w:spacing w:before="80"/>
        <w:ind w:left="1134" w:hanging="1134"/>
        <w:jc w:val="both"/>
        <w:rPr>
          <w:rFonts w:eastAsia="Batang"/>
          <w:szCs w:val="20"/>
          <w:lang w:val="en-GB" w:eastAsia="en-GB"/>
        </w:rPr>
      </w:pPr>
      <w:r>
        <w:rPr>
          <w:rFonts w:eastAsia="Batang"/>
          <w:szCs w:val="20"/>
          <w:lang w:val="en-GB" w:eastAsia="en-GB"/>
        </w:rPr>
        <w:t>•</w:t>
      </w:r>
      <w:r>
        <w:rPr>
          <w:rFonts w:eastAsia="Batang"/>
          <w:szCs w:val="20"/>
          <w:lang w:val="en-GB" w:eastAsia="en-GB"/>
        </w:rPr>
        <w:tab/>
        <w:t>provide a process to treat cases of interference caused by UA earth station.</w:t>
      </w:r>
    </w:p>
    <w:p w14:paraId="63D74630" w14:textId="77777777" w:rsidR="008E4676" w:rsidRDefault="008E4676" w:rsidP="008E4676">
      <w:pPr>
        <w:tabs>
          <w:tab w:val="left" w:pos="1134"/>
          <w:tab w:val="left" w:pos="1871"/>
          <w:tab w:val="left" w:pos="2268"/>
        </w:tabs>
        <w:overflowPunct w:val="0"/>
        <w:autoSpaceDE w:val="0"/>
        <w:autoSpaceDN w:val="0"/>
        <w:adjustRightInd w:val="0"/>
        <w:spacing w:before="120"/>
        <w:jc w:val="both"/>
        <w:rPr>
          <w:rFonts w:eastAsia="MS Mincho"/>
          <w:caps/>
          <w:sz w:val="28"/>
          <w:szCs w:val="27"/>
          <w:lang w:val="en-GB" w:eastAsia="en-GB"/>
        </w:rPr>
      </w:pPr>
      <w:r>
        <w:rPr>
          <w:rFonts w:eastAsia="MS Mincho"/>
          <w:szCs w:val="20"/>
          <w:lang w:val="en-GB" w:eastAsia="en-GB"/>
        </w:rPr>
        <w:t xml:space="preserve">As an option, RR No. </w:t>
      </w:r>
      <w:r>
        <w:rPr>
          <w:rFonts w:eastAsia="MS Mincho"/>
          <w:b/>
          <w:szCs w:val="20"/>
          <w:lang w:val="en-GB" w:eastAsia="en-GB"/>
        </w:rPr>
        <w:t>5.484B</w:t>
      </w:r>
      <w:r>
        <w:rPr>
          <w:rFonts w:eastAsia="MS Mincho"/>
          <w:szCs w:val="20"/>
          <w:lang w:val="en-GB" w:eastAsia="en-GB"/>
        </w:rPr>
        <w:t xml:space="preserve"> would be updated to improve the clarity to the services and systems to which the footnote applies</w:t>
      </w:r>
      <w:r>
        <w:rPr>
          <w:rFonts w:eastAsia="MS Mincho"/>
          <w:caps/>
          <w:sz w:val="28"/>
          <w:szCs w:val="27"/>
          <w:lang w:val="en-GB" w:eastAsia="en-GB"/>
        </w:rPr>
        <w:t>.</w:t>
      </w:r>
    </w:p>
    <w:p w14:paraId="54AC881D" w14:textId="77777777" w:rsidR="008E4676" w:rsidRDefault="008E4676" w:rsidP="008E4676">
      <w:pPr>
        <w:tabs>
          <w:tab w:val="left" w:pos="1134"/>
          <w:tab w:val="left" w:pos="1871"/>
          <w:tab w:val="left" w:pos="2268"/>
        </w:tabs>
        <w:overflowPunct w:val="0"/>
        <w:autoSpaceDE w:val="0"/>
        <w:autoSpaceDN w:val="0"/>
        <w:adjustRightInd w:val="0"/>
        <w:spacing w:before="120"/>
        <w:jc w:val="both"/>
        <w:rPr>
          <w:rFonts w:eastAsia="MS Mincho"/>
          <w:szCs w:val="20"/>
          <w:lang w:val="en-GB" w:eastAsia="ja-JP"/>
        </w:rPr>
      </w:pPr>
      <w:r>
        <w:rPr>
          <w:rFonts w:eastAsia="MS Mincho"/>
          <w:b/>
          <w:bCs/>
          <w:iCs/>
          <w:szCs w:val="32"/>
          <w:lang w:val="en-GB"/>
        </w:rPr>
        <w:t>Reasons:</w:t>
      </w:r>
      <w:r>
        <w:rPr>
          <w:rFonts w:eastAsia="MS Mincho"/>
          <w:b/>
          <w:bCs/>
          <w:iCs/>
          <w:szCs w:val="32"/>
          <w:lang w:val="en-GB"/>
        </w:rPr>
        <w:tab/>
      </w:r>
      <w:r>
        <w:rPr>
          <w:rFonts w:eastAsia="MS Mincho"/>
          <w:szCs w:val="20"/>
          <w:lang w:val="en-GB" w:eastAsia="ja-JP"/>
        </w:rPr>
        <w:t xml:space="preserve">After considering the progress obtained by the International Civil Aviation Organization (ICAO) in the process of establishing and preparing Standards and Recommended Practices (SARPs) for the safe operation of unmanned aircraft systems, the studies to protect the terrestrial services from harmful interference, revisions to Resolution </w:t>
      </w:r>
      <w:r>
        <w:rPr>
          <w:rFonts w:eastAsia="MS Mincho"/>
          <w:b/>
          <w:szCs w:val="20"/>
          <w:lang w:val="en-GB" w:eastAsia="ja-JP"/>
        </w:rPr>
        <w:t>155 (Rev.WRC-19)</w:t>
      </w:r>
      <w:r>
        <w:rPr>
          <w:rFonts w:eastAsia="MS Mincho"/>
          <w:szCs w:val="20"/>
          <w:lang w:val="en-GB" w:eastAsia="ja-JP"/>
        </w:rPr>
        <w:t xml:space="preserve"> are proposed to satisfy this agenda item. The intention being that compliance with the Resolution would ensure that all required ITU-R technical, operational, and regulatory conditions are met, and would not adversely affect existing and future FSS networks or terrestrial services.</w:t>
      </w:r>
    </w:p>
    <w:p w14:paraId="79EE90DB" w14:textId="77777777" w:rsidR="008E4676" w:rsidRDefault="008E4676" w:rsidP="008E4676">
      <w:pPr>
        <w:jc w:val="both"/>
        <w:rPr>
          <w:b/>
          <w:bCs/>
          <w:lang w:val="en-GB" w:eastAsia="en-GB"/>
        </w:rPr>
      </w:pPr>
    </w:p>
    <w:p w14:paraId="503816F8" w14:textId="77777777" w:rsidR="008E4676" w:rsidRDefault="008E4676" w:rsidP="008E4676">
      <w:pPr>
        <w:jc w:val="both"/>
        <w:rPr>
          <w:b/>
          <w:bCs/>
          <w:lang w:val="en-GB" w:eastAsia="en-GB"/>
        </w:rPr>
      </w:pPr>
      <w:r>
        <w:rPr>
          <w:b/>
          <w:bCs/>
          <w:lang w:val="en-GB" w:eastAsia="en-GB"/>
        </w:rPr>
        <w:t>Method B2</w:t>
      </w:r>
    </w:p>
    <w:p w14:paraId="12D61A36" w14:textId="77777777" w:rsidR="008E4676" w:rsidRDefault="008E4676" w:rsidP="008E4676">
      <w:pPr>
        <w:tabs>
          <w:tab w:val="left" w:pos="1134"/>
          <w:tab w:val="left" w:pos="1871"/>
          <w:tab w:val="left" w:pos="2268"/>
        </w:tabs>
        <w:overflowPunct w:val="0"/>
        <w:autoSpaceDE w:val="0"/>
        <w:autoSpaceDN w:val="0"/>
        <w:adjustRightInd w:val="0"/>
        <w:spacing w:before="120"/>
        <w:jc w:val="both"/>
        <w:rPr>
          <w:rFonts w:eastAsia="MS Mincho"/>
          <w:szCs w:val="20"/>
          <w:lang w:val="en-GB"/>
        </w:rPr>
      </w:pPr>
      <w:r>
        <w:rPr>
          <w:rFonts w:eastAsia="MS Mincho"/>
          <w:szCs w:val="20"/>
          <w:lang w:val="en-GB"/>
        </w:rPr>
        <w:t>Resolution</w:t>
      </w:r>
      <w:r>
        <w:rPr>
          <w:rFonts w:eastAsia="MS Mincho"/>
          <w:szCs w:val="20"/>
          <w:lang w:val="en-GB" w:eastAsia="en-GB"/>
        </w:rPr>
        <w:t xml:space="preserve"> </w:t>
      </w:r>
      <w:r>
        <w:rPr>
          <w:rFonts w:eastAsia="MS Mincho"/>
          <w:b/>
          <w:szCs w:val="20"/>
          <w:lang w:val="en-GB" w:eastAsia="en-GB"/>
        </w:rPr>
        <w:t>155</w:t>
      </w:r>
      <w:r>
        <w:rPr>
          <w:rFonts w:eastAsia="MS Mincho"/>
          <w:szCs w:val="20"/>
          <w:lang w:val="en-GB" w:eastAsia="en-GB"/>
        </w:rPr>
        <w:t xml:space="preserve"> (</w:t>
      </w:r>
      <w:r>
        <w:rPr>
          <w:rFonts w:eastAsia="MS Mincho"/>
          <w:b/>
          <w:szCs w:val="20"/>
          <w:lang w:val="en-GB" w:eastAsia="en-GB"/>
        </w:rPr>
        <w:t>Rev.WRC-19</w:t>
      </w:r>
      <w:r>
        <w:rPr>
          <w:rFonts w:eastAsia="MS Mincho"/>
          <w:szCs w:val="20"/>
          <w:lang w:val="en-GB" w:eastAsia="en-GB"/>
        </w:rPr>
        <w:t xml:space="preserve">) is revised in view of the principles listed in section </w:t>
      </w:r>
      <w:r>
        <w:rPr>
          <w:rFonts w:eastAsia="MS Mincho"/>
          <w:szCs w:val="20"/>
          <w:lang w:val="en-GB"/>
        </w:rPr>
        <w:t>2/1.8/3.2 above. In particular it is intended to:</w:t>
      </w:r>
    </w:p>
    <w:p w14:paraId="3AB85598" w14:textId="77777777" w:rsidR="008E4676" w:rsidRDefault="008E4676" w:rsidP="008E4676">
      <w:pPr>
        <w:tabs>
          <w:tab w:val="left" w:pos="1134"/>
          <w:tab w:val="left" w:pos="1871"/>
          <w:tab w:val="left" w:pos="2608"/>
          <w:tab w:val="left" w:pos="3345"/>
        </w:tabs>
        <w:overflowPunct w:val="0"/>
        <w:autoSpaceDE w:val="0"/>
        <w:autoSpaceDN w:val="0"/>
        <w:adjustRightInd w:val="0"/>
        <w:spacing w:before="80"/>
        <w:ind w:left="1134" w:hanging="1134"/>
        <w:jc w:val="both"/>
        <w:rPr>
          <w:rFonts w:eastAsia="Batang"/>
          <w:szCs w:val="20"/>
          <w:lang w:val="en-GB"/>
        </w:rPr>
      </w:pPr>
      <w:r>
        <w:rPr>
          <w:rFonts w:eastAsia="Batang"/>
          <w:szCs w:val="20"/>
          <w:lang w:val="en-GB" w:eastAsia="en-GB"/>
        </w:rPr>
        <w:t>•</w:t>
      </w:r>
      <w:r>
        <w:rPr>
          <w:rFonts w:eastAsia="Batang"/>
          <w:szCs w:val="20"/>
          <w:lang w:val="en-GB"/>
        </w:rPr>
        <w:tab/>
        <w:t>clarify that with the introduction of UA in non-segregated airspace, continued safety of other airspace users as well as life and property on the ground needs to be maintained;</w:t>
      </w:r>
    </w:p>
    <w:p w14:paraId="4CB8891A" w14:textId="77777777" w:rsidR="008E4676" w:rsidRDefault="008E4676" w:rsidP="008E4676">
      <w:pPr>
        <w:tabs>
          <w:tab w:val="left" w:pos="1134"/>
          <w:tab w:val="left" w:pos="1871"/>
          <w:tab w:val="left" w:pos="2608"/>
          <w:tab w:val="left" w:pos="3345"/>
        </w:tabs>
        <w:overflowPunct w:val="0"/>
        <w:autoSpaceDE w:val="0"/>
        <w:autoSpaceDN w:val="0"/>
        <w:adjustRightInd w:val="0"/>
        <w:spacing w:before="80"/>
        <w:ind w:left="1134" w:hanging="1134"/>
        <w:jc w:val="both"/>
        <w:rPr>
          <w:rFonts w:eastAsia="Batang"/>
          <w:szCs w:val="20"/>
          <w:lang w:val="en-GB"/>
        </w:rPr>
      </w:pPr>
      <w:r>
        <w:rPr>
          <w:rFonts w:eastAsia="Batang"/>
          <w:szCs w:val="20"/>
          <w:lang w:val="en-GB" w:eastAsia="en-GB"/>
        </w:rPr>
        <w:t>•</w:t>
      </w:r>
      <w:r>
        <w:rPr>
          <w:rFonts w:eastAsia="Batang"/>
          <w:szCs w:val="20"/>
          <w:lang w:val="en-GB"/>
        </w:rPr>
        <w:tab/>
        <w:t xml:space="preserve">emphasize </w:t>
      </w:r>
      <w:r>
        <w:rPr>
          <w:rFonts w:eastAsia="Batang"/>
          <w:bCs/>
          <w:szCs w:val="20"/>
          <w:lang w:val="en-GB"/>
        </w:rPr>
        <w:t xml:space="preserve">that </w:t>
      </w:r>
      <w:r>
        <w:rPr>
          <w:rFonts w:eastAsia="Batang"/>
          <w:szCs w:val="20"/>
          <w:lang w:val="en-GB"/>
        </w:rPr>
        <w:t>RR No. </w:t>
      </w:r>
      <w:r>
        <w:rPr>
          <w:rFonts w:eastAsia="Batang"/>
          <w:b/>
          <w:bCs/>
          <w:szCs w:val="20"/>
          <w:lang w:val="en-GB"/>
        </w:rPr>
        <w:t>4.10</w:t>
      </w:r>
      <w:r>
        <w:rPr>
          <w:rFonts w:eastAsia="Batang"/>
          <w:szCs w:val="20"/>
          <w:lang w:val="en-GB"/>
        </w:rPr>
        <w:t xml:space="preserve"> is one of the main provisions of the Radio Regulations relating to the interference-free operation of safety services;</w:t>
      </w:r>
    </w:p>
    <w:p w14:paraId="5E707EF7" w14:textId="77777777" w:rsidR="008E4676" w:rsidRDefault="008E4676" w:rsidP="008E4676">
      <w:pPr>
        <w:tabs>
          <w:tab w:val="left" w:pos="1134"/>
          <w:tab w:val="left" w:pos="1871"/>
          <w:tab w:val="left" w:pos="2608"/>
          <w:tab w:val="left" w:pos="3345"/>
        </w:tabs>
        <w:overflowPunct w:val="0"/>
        <w:autoSpaceDE w:val="0"/>
        <w:autoSpaceDN w:val="0"/>
        <w:adjustRightInd w:val="0"/>
        <w:spacing w:before="80"/>
        <w:ind w:left="1134" w:hanging="1134"/>
        <w:jc w:val="both"/>
        <w:rPr>
          <w:rFonts w:eastAsia="Batang"/>
          <w:szCs w:val="20"/>
          <w:lang w:val="en-GB"/>
        </w:rPr>
      </w:pPr>
      <w:r>
        <w:rPr>
          <w:rFonts w:eastAsia="Batang"/>
          <w:szCs w:val="20"/>
          <w:lang w:val="en-GB" w:eastAsia="en-GB"/>
        </w:rPr>
        <w:lastRenderedPageBreak/>
        <w:t>•</w:t>
      </w:r>
      <w:r>
        <w:rPr>
          <w:rFonts w:eastAsia="Batang"/>
          <w:szCs w:val="20"/>
          <w:lang w:val="en-GB"/>
        </w:rPr>
        <w:tab/>
        <w:t>require that the assignments and use of the relevant frequency bands are consistent with No. </w:t>
      </w:r>
      <w:r>
        <w:rPr>
          <w:rFonts w:eastAsia="Batang"/>
          <w:b/>
          <w:szCs w:val="20"/>
          <w:lang w:val="en-GB"/>
        </w:rPr>
        <w:t>4.10</w:t>
      </w:r>
      <w:r>
        <w:rPr>
          <w:rFonts w:eastAsia="Batang"/>
          <w:szCs w:val="20"/>
          <w:lang w:val="en-GB"/>
        </w:rPr>
        <w:t xml:space="preserve"> of the Radio Regulations which recognizes that safety services require special measures to ensure their freedom from harmful interference;</w:t>
      </w:r>
    </w:p>
    <w:p w14:paraId="1CC39F60" w14:textId="77777777" w:rsidR="008E4676" w:rsidRDefault="008E4676" w:rsidP="008E4676">
      <w:pPr>
        <w:tabs>
          <w:tab w:val="left" w:pos="1134"/>
          <w:tab w:val="left" w:pos="1871"/>
          <w:tab w:val="left" w:pos="2608"/>
          <w:tab w:val="left" w:pos="3345"/>
        </w:tabs>
        <w:overflowPunct w:val="0"/>
        <w:autoSpaceDE w:val="0"/>
        <w:autoSpaceDN w:val="0"/>
        <w:adjustRightInd w:val="0"/>
        <w:spacing w:before="80"/>
        <w:ind w:left="1134" w:hanging="1134"/>
        <w:jc w:val="both"/>
        <w:rPr>
          <w:rFonts w:eastAsia="Batang"/>
          <w:szCs w:val="20"/>
          <w:lang w:val="en-GB"/>
        </w:rPr>
      </w:pPr>
      <w:r>
        <w:rPr>
          <w:rFonts w:eastAsia="Batang"/>
          <w:szCs w:val="20"/>
          <w:lang w:val="en-GB" w:eastAsia="en-GB"/>
        </w:rPr>
        <w:t>•</w:t>
      </w:r>
      <w:r>
        <w:rPr>
          <w:rFonts w:eastAsia="Batang"/>
          <w:szCs w:val="20"/>
          <w:lang w:val="en-GB"/>
        </w:rPr>
        <w:tab/>
        <w:t xml:space="preserve">require that the frequency bands specified in </w:t>
      </w:r>
      <w:r>
        <w:rPr>
          <w:rFonts w:eastAsia="Batang"/>
          <w:i/>
          <w:iCs/>
          <w:szCs w:val="20"/>
          <w:lang w:val="en-GB"/>
        </w:rPr>
        <w:t>resolves</w:t>
      </w:r>
      <w:r>
        <w:rPr>
          <w:rFonts w:eastAsia="Batang"/>
          <w:szCs w:val="20"/>
          <w:lang w:val="en-GB"/>
        </w:rPr>
        <w:t xml:space="preserve"> 1 shall not be used for the UAS CNPC links before the issue of safety of life referred to in RR No. </w:t>
      </w:r>
      <w:r>
        <w:rPr>
          <w:rFonts w:eastAsia="Batang"/>
          <w:b/>
          <w:szCs w:val="20"/>
          <w:lang w:val="en-GB"/>
        </w:rPr>
        <w:t>4.10</w:t>
      </w:r>
      <w:r>
        <w:rPr>
          <w:rFonts w:eastAsia="Batang"/>
          <w:szCs w:val="20"/>
          <w:lang w:val="en-GB"/>
        </w:rPr>
        <w:t xml:space="preserve"> is solved and agreed in ITU-R framework;</w:t>
      </w:r>
    </w:p>
    <w:p w14:paraId="17C5F0F5" w14:textId="77777777" w:rsidR="008E4676" w:rsidRDefault="008E4676" w:rsidP="008E4676">
      <w:pPr>
        <w:tabs>
          <w:tab w:val="left" w:pos="1134"/>
          <w:tab w:val="left" w:pos="1871"/>
          <w:tab w:val="left" w:pos="2608"/>
          <w:tab w:val="left" w:pos="3345"/>
        </w:tabs>
        <w:overflowPunct w:val="0"/>
        <w:autoSpaceDE w:val="0"/>
        <w:autoSpaceDN w:val="0"/>
        <w:adjustRightInd w:val="0"/>
        <w:spacing w:before="80"/>
        <w:ind w:left="1134" w:hanging="1134"/>
        <w:jc w:val="both"/>
        <w:rPr>
          <w:rFonts w:eastAsia="Batang"/>
          <w:szCs w:val="20"/>
          <w:lang w:val="en-GB"/>
        </w:rPr>
      </w:pPr>
      <w:r>
        <w:rPr>
          <w:rFonts w:eastAsia="Batang"/>
          <w:szCs w:val="20"/>
          <w:lang w:val="en-GB" w:eastAsia="en-GB"/>
        </w:rPr>
        <w:t>•</w:t>
      </w:r>
      <w:r>
        <w:rPr>
          <w:rFonts w:eastAsia="Batang"/>
          <w:szCs w:val="20"/>
          <w:lang w:val="en-GB"/>
        </w:rPr>
        <w:tab/>
        <w:t xml:space="preserve">specify that the use of frequency assignments of GSO FSS networks for UAS CNPC links does not confer on the satellite network special regulatory status or any advantage or priority in the application of RR Articles </w:t>
      </w:r>
      <w:r>
        <w:rPr>
          <w:rFonts w:eastAsia="Batang"/>
          <w:b/>
          <w:bCs/>
          <w:szCs w:val="20"/>
          <w:lang w:val="en-GB"/>
        </w:rPr>
        <w:t>9</w:t>
      </w:r>
      <w:r>
        <w:rPr>
          <w:rFonts w:eastAsia="Batang"/>
          <w:szCs w:val="20"/>
          <w:lang w:val="en-GB"/>
        </w:rPr>
        <w:t xml:space="preserve"> and </w:t>
      </w:r>
      <w:r>
        <w:rPr>
          <w:rFonts w:eastAsia="Batang"/>
          <w:b/>
          <w:bCs/>
          <w:szCs w:val="20"/>
          <w:lang w:val="en-GB"/>
        </w:rPr>
        <w:t>11</w:t>
      </w:r>
      <w:r>
        <w:rPr>
          <w:rFonts w:eastAsia="Batang"/>
          <w:szCs w:val="20"/>
          <w:lang w:val="en-GB"/>
        </w:rPr>
        <w:t xml:space="preserve"> or any other regulatory provisions.</w:t>
      </w:r>
    </w:p>
    <w:p w14:paraId="1FB99AA2" w14:textId="77777777" w:rsidR="008E4676" w:rsidRDefault="008E4676" w:rsidP="008E4676">
      <w:pPr>
        <w:tabs>
          <w:tab w:val="left" w:pos="1134"/>
          <w:tab w:val="left" w:pos="1871"/>
          <w:tab w:val="left" w:pos="2268"/>
        </w:tabs>
        <w:overflowPunct w:val="0"/>
        <w:autoSpaceDE w:val="0"/>
        <w:autoSpaceDN w:val="0"/>
        <w:adjustRightInd w:val="0"/>
        <w:spacing w:before="120"/>
        <w:jc w:val="both"/>
        <w:rPr>
          <w:lang w:val="en-GB" w:eastAsia="en-GB"/>
        </w:rPr>
      </w:pPr>
      <w:r>
        <w:rPr>
          <w:rFonts w:eastAsia="MS Mincho"/>
          <w:szCs w:val="20"/>
          <w:lang w:val="en-GB" w:eastAsia="en-GB"/>
        </w:rPr>
        <w:t xml:space="preserve">RR No. </w:t>
      </w:r>
      <w:r>
        <w:rPr>
          <w:rFonts w:eastAsia="MS Mincho"/>
          <w:b/>
          <w:szCs w:val="20"/>
          <w:lang w:val="en-GB" w:eastAsia="en-GB"/>
        </w:rPr>
        <w:t>5.484B</w:t>
      </w:r>
      <w:r>
        <w:rPr>
          <w:rFonts w:eastAsia="MS Mincho"/>
          <w:szCs w:val="20"/>
          <w:lang w:val="en-GB" w:eastAsia="en-GB"/>
        </w:rPr>
        <w:t xml:space="preserve"> would be updated to improve the clarity to the services and systems </w:t>
      </w:r>
      <w:r>
        <w:rPr>
          <w:rFonts w:eastAsia="MS Mincho"/>
          <w:lang w:val="en-GB" w:eastAsia="en-GB"/>
        </w:rPr>
        <w:t>to which the footnote applies</w:t>
      </w:r>
      <w:r>
        <w:rPr>
          <w:rFonts w:eastAsia="MS Mincho"/>
          <w:caps/>
          <w:sz w:val="28"/>
          <w:szCs w:val="27"/>
          <w:lang w:val="en-GB" w:eastAsia="en-GB"/>
        </w:rPr>
        <w:t>.</w:t>
      </w:r>
    </w:p>
    <w:p w14:paraId="2E6DF219" w14:textId="77777777" w:rsidR="008E4676" w:rsidRDefault="008E4676" w:rsidP="008E4676">
      <w:pPr>
        <w:tabs>
          <w:tab w:val="left" w:pos="1134"/>
          <w:tab w:val="left" w:pos="1871"/>
          <w:tab w:val="left" w:pos="2268"/>
        </w:tabs>
        <w:overflowPunct w:val="0"/>
        <w:autoSpaceDE w:val="0"/>
        <w:autoSpaceDN w:val="0"/>
        <w:adjustRightInd w:val="0"/>
        <w:spacing w:before="120"/>
        <w:jc w:val="both"/>
        <w:rPr>
          <w:b/>
          <w:bCs/>
          <w:lang w:val="en-GB" w:eastAsia="en-GB"/>
        </w:rPr>
      </w:pPr>
      <w:r>
        <w:rPr>
          <w:b/>
          <w:bCs/>
          <w:lang w:val="en-GB" w:eastAsia="en-GB"/>
        </w:rPr>
        <w:t>Method B3</w:t>
      </w:r>
    </w:p>
    <w:p w14:paraId="4AED7A3B" w14:textId="77777777" w:rsidR="008E4676" w:rsidRDefault="008E4676" w:rsidP="008E4676">
      <w:pPr>
        <w:tabs>
          <w:tab w:val="left" w:pos="1134"/>
          <w:tab w:val="left" w:pos="1871"/>
          <w:tab w:val="left" w:pos="2268"/>
        </w:tabs>
        <w:overflowPunct w:val="0"/>
        <w:autoSpaceDE w:val="0"/>
        <w:autoSpaceDN w:val="0"/>
        <w:adjustRightInd w:val="0"/>
        <w:spacing w:before="120"/>
        <w:jc w:val="both"/>
        <w:rPr>
          <w:rFonts w:eastAsia="MS Mincho"/>
          <w:szCs w:val="20"/>
          <w:lang w:val="en-GB"/>
        </w:rPr>
      </w:pPr>
      <w:r>
        <w:rPr>
          <w:rFonts w:eastAsia="MS Mincho"/>
          <w:szCs w:val="20"/>
          <w:lang w:val="en-GB" w:eastAsia="en-GB"/>
        </w:rPr>
        <w:t xml:space="preserve">Resolution </w:t>
      </w:r>
      <w:r>
        <w:rPr>
          <w:rFonts w:eastAsia="MS Mincho"/>
          <w:b/>
          <w:szCs w:val="20"/>
          <w:lang w:val="en-GB" w:eastAsia="en-GB"/>
        </w:rPr>
        <w:t>155</w:t>
      </w:r>
      <w:r>
        <w:rPr>
          <w:rFonts w:eastAsia="MS Mincho"/>
          <w:szCs w:val="20"/>
          <w:lang w:val="en-GB" w:eastAsia="en-GB"/>
        </w:rPr>
        <w:t xml:space="preserve"> (</w:t>
      </w:r>
      <w:r>
        <w:rPr>
          <w:rFonts w:eastAsia="MS Mincho"/>
          <w:b/>
          <w:szCs w:val="20"/>
          <w:lang w:val="en-GB" w:eastAsia="en-GB"/>
        </w:rPr>
        <w:t>Rev.WRC-19</w:t>
      </w:r>
      <w:r>
        <w:rPr>
          <w:rFonts w:eastAsia="MS Mincho"/>
          <w:szCs w:val="20"/>
          <w:lang w:val="en-GB" w:eastAsia="en-GB"/>
        </w:rPr>
        <w:t xml:space="preserve">) is revised in view of the principles listed in section </w:t>
      </w:r>
      <w:r>
        <w:rPr>
          <w:rFonts w:eastAsia="MS Mincho"/>
          <w:szCs w:val="20"/>
          <w:lang w:val="en-GB"/>
        </w:rPr>
        <w:t>2/1.8/3.2 above. In particular it is intended to:</w:t>
      </w:r>
    </w:p>
    <w:p w14:paraId="1376F869" w14:textId="77777777" w:rsidR="008E4676" w:rsidRDefault="008E4676" w:rsidP="008E4676">
      <w:pPr>
        <w:tabs>
          <w:tab w:val="left" w:pos="1134"/>
          <w:tab w:val="left" w:pos="1871"/>
          <w:tab w:val="left" w:pos="2608"/>
          <w:tab w:val="left" w:pos="3345"/>
        </w:tabs>
        <w:overflowPunct w:val="0"/>
        <w:autoSpaceDE w:val="0"/>
        <w:autoSpaceDN w:val="0"/>
        <w:adjustRightInd w:val="0"/>
        <w:spacing w:before="80"/>
        <w:ind w:left="1134" w:hanging="1134"/>
        <w:jc w:val="both"/>
        <w:rPr>
          <w:rFonts w:eastAsia="Batang"/>
          <w:szCs w:val="20"/>
          <w:lang w:val="en-GB" w:eastAsia="en-GB"/>
        </w:rPr>
      </w:pPr>
      <w:r>
        <w:rPr>
          <w:rFonts w:eastAsia="Batang"/>
          <w:szCs w:val="20"/>
          <w:lang w:val="en-GB" w:eastAsia="en-GB"/>
        </w:rPr>
        <w:t>•</w:t>
      </w:r>
      <w:r>
        <w:rPr>
          <w:rFonts w:eastAsia="Batang"/>
          <w:szCs w:val="20"/>
          <w:lang w:val="en-GB" w:eastAsia="en-GB"/>
        </w:rPr>
        <w:tab/>
        <w:t xml:space="preserve">clearly separate between the responsibilities of ICAO and </w:t>
      </w:r>
      <w:proofErr w:type="gramStart"/>
      <w:r>
        <w:rPr>
          <w:rFonts w:eastAsia="Batang"/>
          <w:szCs w:val="20"/>
          <w:lang w:val="en-GB" w:eastAsia="en-GB"/>
        </w:rPr>
        <w:t>ITU;</w:t>
      </w:r>
      <w:proofErr w:type="gramEnd"/>
    </w:p>
    <w:p w14:paraId="562498DA" w14:textId="77777777" w:rsidR="008E4676" w:rsidRDefault="008E4676" w:rsidP="008E4676">
      <w:pPr>
        <w:tabs>
          <w:tab w:val="left" w:pos="1134"/>
          <w:tab w:val="left" w:pos="1871"/>
          <w:tab w:val="left" w:pos="2608"/>
          <w:tab w:val="left" w:pos="3345"/>
        </w:tabs>
        <w:overflowPunct w:val="0"/>
        <w:autoSpaceDE w:val="0"/>
        <w:autoSpaceDN w:val="0"/>
        <w:adjustRightInd w:val="0"/>
        <w:spacing w:before="80"/>
        <w:ind w:left="1134" w:hanging="1134"/>
        <w:jc w:val="both"/>
        <w:rPr>
          <w:rFonts w:eastAsia="Batang"/>
          <w:szCs w:val="20"/>
          <w:lang w:val="en-GB" w:eastAsia="en-GB"/>
        </w:rPr>
      </w:pPr>
      <w:r>
        <w:rPr>
          <w:rFonts w:eastAsia="Batang"/>
          <w:szCs w:val="20"/>
          <w:lang w:val="en-GB" w:eastAsia="en-GB"/>
        </w:rPr>
        <w:t>•</w:t>
      </w:r>
      <w:r>
        <w:rPr>
          <w:rFonts w:eastAsia="Batang"/>
          <w:szCs w:val="20"/>
          <w:lang w:val="en-GB" w:eastAsia="en-GB"/>
        </w:rPr>
        <w:tab/>
        <w:t>ensure that UAS CNPC links shall only operate in accordance with the convention on international civil aviation and its annexes;</w:t>
      </w:r>
    </w:p>
    <w:p w14:paraId="5508D2B0" w14:textId="77777777" w:rsidR="008E4676" w:rsidRDefault="008E4676" w:rsidP="008E4676">
      <w:pPr>
        <w:tabs>
          <w:tab w:val="left" w:pos="1134"/>
          <w:tab w:val="left" w:pos="1871"/>
          <w:tab w:val="left" w:pos="2608"/>
          <w:tab w:val="left" w:pos="3345"/>
        </w:tabs>
        <w:overflowPunct w:val="0"/>
        <w:autoSpaceDE w:val="0"/>
        <w:autoSpaceDN w:val="0"/>
        <w:adjustRightInd w:val="0"/>
        <w:spacing w:before="80"/>
        <w:ind w:left="1134" w:hanging="1134"/>
        <w:jc w:val="both"/>
        <w:rPr>
          <w:rFonts w:eastAsia="Batang"/>
          <w:szCs w:val="20"/>
          <w:lang w:val="en-GB" w:eastAsia="en-GB"/>
        </w:rPr>
      </w:pPr>
      <w:r>
        <w:rPr>
          <w:rFonts w:eastAsia="Batang"/>
          <w:szCs w:val="20"/>
          <w:lang w:val="en-GB" w:eastAsia="en-GB"/>
        </w:rPr>
        <w:t>•</w:t>
      </w:r>
      <w:r>
        <w:rPr>
          <w:rFonts w:eastAsia="Batang"/>
          <w:szCs w:val="20"/>
          <w:lang w:val="en-GB" w:eastAsia="en-GB"/>
        </w:rPr>
        <w:tab/>
        <w:t xml:space="preserve">confirm that the provisions of RR No. </w:t>
      </w:r>
      <w:r>
        <w:rPr>
          <w:rFonts w:eastAsia="Batang"/>
          <w:b/>
          <w:bCs/>
          <w:szCs w:val="20"/>
          <w:lang w:val="en-GB" w:eastAsia="en-GB"/>
        </w:rPr>
        <w:t>4.10</w:t>
      </w:r>
      <w:r>
        <w:rPr>
          <w:rFonts w:eastAsia="Batang"/>
          <w:szCs w:val="20"/>
          <w:lang w:val="en-GB" w:eastAsia="en-GB"/>
        </w:rPr>
        <w:t xml:space="preserve"> shall not apply to the use of UAS CNPC links through FSS networks, or creates a responsibility of administrations to ensure safety of flight in any way;</w:t>
      </w:r>
    </w:p>
    <w:p w14:paraId="4E878E91" w14:textId="77777777" w:rsidR="008E4676" w:rsidRDefault="008E4676" w:rsidP="008E4676">
      <w:pPr>
        <w:tabs>
          <w:tab w:val="left" w:pos="1134"/>
          <w:tab w:val="left" w:pos="1871"/>
          <w:tab w:val="left" w:pos="2608"/>
          <w:tab w:val="left" w:pos="3345"/>
        </w:tabs>
        <w:overflowPunct w:val="0"/>
        <w:autoSpaceDE w:val="0"/>
        <w:autoSpaceDN w:val="0"/>
        <w:adjustRightInd w:val="0"/>
        <w:spacing w:before="80"/>
        <w:ind w:left="1134" w:hanging="1134"/>
        <w:jc w:val="both"/>
        <w:rPr>
          <w:rFonts w:eastAsia="Batang"/>
          <w:szCs w:val="20"/>
          <w:lang w:val="en-GB" w:eastAsia="en-GB"/>
        </w:rPr>
      </w:pPr>
      <w:r>
        <w:rPr>
          <w:rFonts w:eastAsia="Batang"/>
          <w:szCs w:val="20"/>
          <w:lang w:val="en-GB" w:eastAsia="en-GB"/>
        </w:rPr>
        <w:t>•</w:t>
      </w:r>
      <w:r>
        <w:rPr>
          <w:rFonts w:eastAsia="Batang"/>
          <w:szCs w:val="20"/>
          <w:lang w:val="en-GB" w:eastAsia="en-GB"/>
        </w:rPr>
        <w:tab/>
        <w:t>clarify that UAS CNPC operations shall not impose any additional constraints on the terrestrial systems;</w:t>
      </w:r>
    </w:p>
    <w:p w14:paraId="41752858" w14:textId="77777777" w:rsidR="008E4676" w:rsidRDefault="008E4676" w:rsidP="008E4676">
      <w:pPr>
        <w:tabs>
          <w:tab w:val="left" w:pos="1134"/>
          <w:tab w:val="left" w:pos="1871"/>
          <w:tab w:val="left" w:pos="2608"/>
          <w:tab w:val="left" w:pos="3345"/>
        </w:tabs>
        <w:overflowPunct w:val="0"/>
        <w:autoSpaceDE w:val="0"/>
        <w:autoSpaceDN w:val="0"/>
        <w:adjustRightInd w:val="0"/>
        <w:spacing w:before="80"/>
        <w:ind w:left="1134" w:hanging="1134"/>
        <w:jc w:val="both"/>
        <w:rPr>
          <w:rFonts w:eastAsia="Batang"/>
          <w:szCs w:val="20"/>
          <w:lang w:val="en-GB" w:eastAsia="en-GB"/>
        </w:rPr>
      </w:pPr>
      <w:r>
        <w:rPr>
          <w:rFonts w:eastAsia="Batang"/>
          <w:szCs w:val="20"/>
          <w:lang w:val="en-GB" w:eastAsia="en-GB"/>
        </w:rPr>
        <w:t>•</w:t>
      </w:r>
      <w:r>
        <w:rPr>
          <w:rFonts w:eastAsia="Batang"/>
          <w:szCs w:val="20"/>
          <w:lang w:val="en-GB" w:eastAsia="en-GB"/>
        </w:rPr>
        <w:tab/>
        <w:t>maintain the existing procedure for the FSS network coordination as well as for bilateral coordination agreements;</w:t>
      </w:r>
    </w:p>
    <w:p w14:paraId="46997F60" w14:textId="77777777" w:rsidR="008E4676" w:rsidRDefault="008E4676" w:rsidP="008E4676">
      <w:pPr>
        <w:tabs>
          <w:tab w:val="left" w:pos="1134"/>
          <w:tab w:val="left" w:pos="1871"/>
          <w:tab w:val="left" w:pos="2608"/>
          <w:tab w:val="left" w:pos="3345"/>
        </w:tabs>
        <w:overflowPunct w:val="0"/>
        <w:autoSpaceDE w:val="0"/>
        <w:autoSpaceDN w:val="0"/>
        <w:adjustRightInd w:val="0"/>
        <w:spacing w:before="80"/>
        <w:ind w:left="1134" w:hanging="1134"/>
        <w:jc w:val="both"/>
        <w:rPr>
          <w:rFonts w:eastAsia="Batang"/>
          <w:szCs w:val="20"/>
          <w:lang w:val="en-GB" w:eastAsia="en-GB"/>
        </w:rPr>
      </w:pPr>
      <w:r>
        <w:rPr>
          <w:rFonts w:eastAsia="Batang"/>
          <w:szCs w:val="20"/>
          <w:lang w:val="en-GB" w:eastAsia="en-GB"/>
        </w:rPr>
        <w:t>•</w:t>
      </w:r>
      <w:r>
        <w:rPr>
          <w:rFonts w:eastAsia="Batang"/>
          <w:szCs w:val="20"/>
          <w:lang w:val="en-GB" w:eastAsia="en-GB"/>
        </w:rPr>
        <w:tab/>
        <w:t xml:space="preserve">ensure that UAS CNPC links shall not have any impact on the relevant existing agreements reached during FSS satellite coordination process or on the future coordination of FSS networks during the application of the provisions of the Radio Regulations; and that this application shall not create any obstacle to coordination and development of regular FSS in the bands; </w:t>
      </w:r>
    </w:p>
    <w:p w14:paraId="09B863B0" w14:textId="77777777" w:rsidR="008E4676" w:rsidRDefault="008E4676" w:rsidP="008E4676">
      <w:pPr>
        <w:tabs>
          <w:tab w:val="left" w:pos="1134"/>
          <w:tab w:val="left" w:pos="1871"/>
          <w:tab w:val="left" w:pos="2608"/>
          <w:tab w:val="left" w:pos="3345"/>
        </w:tabs>
        <w:overflowPunct w:val="0"/>
        <w:autoSpaceDE w:val="0"/>
        <w:autoSpaceDN w:val="0"/>
        <w:adjustRightInd w:val="0"/>
        <w:spacing w:before="80"/>
        <w:ind w:left="1134" w:hanging="1134"/>
        <w:jc w:val="both"/>
        <w:rPr>
          <w:rFonts w:eastAsia="Batang"/>
          <w:szCs w:val="20"/>
          <w:lang w:val="en-GB" w:eastAsia="en-GB"/>
        </w:rPr>
      </w:pPr>
      <w:r>
        <w:rPr>
          <w:rFonts w:eastAsia="Batang"/>
          <w:szCs w:val="20"/>
          <w:lang w:val="en-GB" w:eastAsia="en-GB"/>
        </w:rPr>
        <w:t>•</w:t>
      </w:r>
      <w:r>
        <w:rPr>
          <w:rFonts w:eastAsia="Batang"/>
          <w:szCs w:val="20"/>
          <w:lang w:val="en-GB" w:eastAsia="en-GB"/>
        </w:rPr>
        <w:tab/>
        <w:t>provide that UAS CNPC links should ensure the protection of the current systems operating in terrestrial and space services without imposing any undue constraints on them;</w:t>
      </w:r>
    </w:p>
    <w:p w14:paraId="01D51A4D" w14:textId="77777777" w:rsidR="008E4676" w:rsidRDefault="008E4676" w:rsidP="008E4676">
      <w:pPr>
        <w:tabs>
          <w:tab w:val="left" w:pos="1134"/>
          <w:tab w:val="left" w:pos="1871"/>
          <w:tab w:val="left" w:pos="2608"/>
          <w:tab w:val="left" w:pos="3345"/>
        </w:tabs>
        <w:overflowPunct w:val="0"/>
        <w:autoSpaceDE w:val="0"/>
        <w:autoSpaceDN w:val="0"/>
        <w:adjustRightInd w:val="0"/>
        <w:spacing w:before="80"/>
        <w:ind w:left="1134" w:hanging="1134"/>
        <w:jc w:val="both"/>
        <w:rPr>
          <w:rFonts w:eastAsia="Batang"/>
          <w:szCs w:val="20"/>
          <w:lang w:val="en-GB" w:eastAsia="en-GB"/>
        </w:rPr>
      </w:pPr>
      <w:r>
        <w:rPr>
          <w:rFonts w:eastAsia="Batang"/>
          <w:szCs w:val="20"/>
          <w:lang w:val="en-GB" w:eastAsia="en-GB"/>
        </w:rPr>
        <w:t>•</w:t>
      </w:r>
      <w:r>
        <w:rPr>
          <w:rFonts w:eastAsia="Batang"/>
          <w:szCs w:val="20"/>
          <w:lang w:val="en-GB" w:eastAsia="en-GB"/>
        </w:rPr>
        <w:tab/>
        <w:t>provide a process to treat cases of interference caused by UA earth station.</w:t>
      </w:r>
    </w:p>
    <w:p w14:paraId="675EBAC3" w14:textId="77777777" w:rsidR="008E4676" w:rsidRDefault="008E4676" w:rsidP="008E4676">
      <w:pPr>
        <w:tabs>
          <w:tab w:val="left" w:pos="1134"/>
          <w:tab w:val="left" w:pos="1871"/>
          <w:tab w:val="left" w:pos="2268"/>
        </w:tabs>
        <w:overflowPunct w:val="0"/>
        <w:autoSpaceDE w:val="0"/>
        <w:autoSpaceDN w:val="0"/>
        <w:adjustRightInd w:val="0"/>
        <w:spacing w:before="120"/>
        <w:jc w:val="both"/>
        <w:rPr>
          <w:rFonts w:eastAsia="MS Mincho"/>
          <w:szCs w:val="20"/>
          <w:lang w:val="en-GB"/>
        </w:rPr>
      </w:pPr>
      <w:r>
        <w:rPr>
          <w:rFonts w:eastAsia="MS Mincho"/>
          <w:szCs w:val="20"/>
          <w:lang w:val="en-GB" w:eastAsia="en-GB"/>
        </w:rPr>
        <w:t xml:space="preserve">As an option, RR No. </w:t>
      </w:r>
      <w:r>
        <w:rPr>
          <w:rFonts w:eastAsia="MS Mincho"/>
          <w:b/>
          <w:szCs w:val="20"/>
          <w:lang w:val="en-GB" w:eastAsia="en-GB"/>
        </w:rPr>
        <w:t>5.484B</w:t>
      </w:r>
      <w:r>
        <w:rPr>
          <w:rFonts w:eastAsia="MS Mincho"/>
          <w:szCs w:val="20"/>
          <w:lang w:val="en-GB" w:eastAsia="en-GB"/>
        </w:rPr>
        <w:t xml:space="preserve"> would be updated to </w:t>
      </w:r>
      <w:r>
        <w:rPr>
          <w:rFonts w:eastAsia="MS Mincho"/>
          <w:szCs w:val="20"/>
          <w:lang w:val="en-GB"/>
        </w:rPr>
        <w:t>improve the clarity to the services and systems to which the footnote applies.</w:t>
      </w:r>
    </w:p>
    <w:p w14:paraId="382FACED" w14:textId="77777777" w:rsidR="008E4676" w:rsidRDefault="008E4676" w:rsidP="008E4676">
      <w:pPr>
        <w:jc w:val="both"/>
        <w:rPr>
          <w:rFonts w:eastAsia="SimSun"/>
          <w:b/>
          <w:lang w:val="en-GB"/>
        </w:rPr>
      </w:pPr>
    </w:p>
    <w:p w14:paraId="1809C1AA" w14:textId="77777777" w:rsidR="008E4676" w:rsidRPr="008E4676" w:rsidRDefault="008E4676" w:rsidP="008E4676">
      <w:pPr>
        <w:jc w:val="both"/>
        <w:rPr>
          <w:i/>
          <w:iCs/>
        </w:rPr>
      </w:pPr>
      <w:r w:rsidRPr="008E4676">
        <w:rPr>
          <w:i/>
          <w:iCs/>
        </w:rPr>
        <w:t xml:space="preserve">Note: During the CPM23-2 Meeting, no agreement was reached in respect of the solution for Method B (as contained in sections 2/1.8/4.2 and 2/1.8/5.2 of CPM 23-2 Report). For this reason, three alternative texts are provided, labelled Method B1, B2 and B3. The text of Method B1 is a reproduction of the draft CPM text as contained in Document </w:t>
      </w:r>
      <w:hyperlink r:id="rId10" w:history="1">
        <w:r w:rsidRPr="008E4676">
          <w:rPr>
            <w:rStyle w:val="Hyperlink"/>
            <w:i/>
            <w:iCs/>
            <w:color w:val="auto"/>
          </w:rPr>
          <w:t>CPM23-2/1</w:t>
        </w:r>
      </w:hyperlink>
      <w:r w:rsidRPr="008E4676">
        <w:rPr>
          <w:i/>
          <w:iCs/>
        </w:rPr>
        <w:t>. Methods B2 and B3 are mergers of contributions received at CPM23-2 where the mergers are conducted by the respective authors and are provided for information. CPM23-2 had no time to review or discuss the content of the text for these methods and no agreement to these by CPM therefore should be assumed.</w:t>
      </w:r>
    </w:p>
    <w:bookmarkEnd w:id="0"/>
    <w:p w14:paraId="569C93E3" w14:textId="3A703EC8" w:rsidR="00DF64C5" w:rsidRPr="008E4676" w:rsidRDefault="00DF64C5" w:rsidP="00DF64C5">
      <w:pPr>
        <w:spacing w:after="160"/>
        <w:ind w:firstLine="720"/>
        <w:jc w:val="both"/>
        <w:rPr>
          <w:rFonts w:eastAsia="SimSun"/>
          <w:lang w:eastAsia="zh-CN"/>
        </w:rPr>
      </w:pPr>
    </w:p>
    <w:bookmarkEnd w:id="1"/>
    <w:p w14:paraId="0193724A" w14:textId="77777777" w:rsidR="002A0111" w:rsidRPr="0034532A" w:rsidRDefault="002A0111" w:rsidP="002A0111">
      <w:pPr>
        <w:spacing w:after="120"/>
        <w:jc w:val="both"/>
        <w:rPr>
          <w:b/>
          <w:lang w:val="en-NZ" w:eastAsia="ko-KR"/>
        </w:rPr>
      </w:pPr>
      <w:r w:rsidRPr="007E61C6">
        <w:rPr>
          <w:b/>
          <w:lang w:val="en-NZ" w:eastAsia="ko-KR"/>
        </w:rPr>
        <w:lastRenderedPageBreak/>
        <w:t xml:space="preserve">2. </w:t>
      </w:r>
      <w:r w:rsidRPr="007E61C6">
        <w:rPr>
          <w:b/>
          <w:lang w:val="en-NZ" w:eastAsia="ko-KR"/>
        </w:rPr>
        <w:tab/>
      </w:r>
      <w:r w:rsidRPr="0034532A">
        <w:rPr>
          <w:b/>
          <w:lang w:val="en-NZ" w:eastAsia="ko-KR"/>
        </w:rPr>
        <w:t>Documents</w:t>
      </w:r>
    </w:p>
    <w:p w14:paraId="609DF4EF" w14:textId="2C43DF26" w:rsidR="00F77408" w:rsidRPr="0034532A" w:rsidRDefault="00F0196E" w:rsidP="00F77408">
      <w:pPr>
        <w:numPr>
          <w:ilvl w:val="0"/>
          <w:numId w:val="18"/>
        </w:numPr>
        <w:ind w:leftChars="145" w:left="708"/>
        <w:jc w:val="both"/>
        <w:rPr>
          <w:lang w:val="en-NZ"/>
        </w:rPr>
      </w:pPr>
      <w:r w:rsidRPr="0034532A">
        <w:rPr>
          <w:lang w:val="en-NZ"/>
        </w:rPr>
        <w:t>Input Documents</w:t>
      </w:r>
      <w:r w:rsidR="004112C7" w:rsidRPr="0034532A">
        <w:rPr>
          <w:lang w:val="en-NZ"/>
        </w:rPr>
        <w:t>:</w:t>
      </w:r>
      <w:r w:rsidRPr="0034532A">
        <w:rPr>
          <w:lang w:val="en-NZ"/>
        </w:rPr>
        <w:t xml:space="preserve"> </w:t>
      </w:r>
      <w:bookmarkStart w:id="4" w:name="_Hlk142973761"/>
      <w:r w:rsidR="0097316C" w:rsidRPr="0034532A">
        <w:rPr>
          <w:bCs/>
          <w:lang w:val="en-NZ" w:eastAsia="ko-KR"/>
        </w:rPr>
        <w:t>APG23-</w:t>
      </w:r>
      <w:r w:rsidR="0097316C">
        <w:rPr>
          <w:bCs/>
          <w:lang w:val="en-NZ" w:eastAsia="ko-KR"/>
        </w:rPr>
        <w:t>6</w:t>
      </w:r>
      <w:r w:rsidR="0097316C" w:rsidRPr="0034532A">
        <w:rPr>
          <w:bCs/>
          <w:lang w:val="en-NZ" w:eastAsia="ko-KR"/>
        </w:rPr>
        <w:t>/INP-</w:t>
      </w:r>
      <w:r w:rsidR="0097316C">
        <w:rPr>
          <w:bCs/>
          <w:lang w:val="en-NZ" w:eastAsia="ko-KR"/>
        </w:rPr>
        <w:t>31</w:t>
      </w:r>
      <w:r w:rsidR="0097316C" w:rsidRPr="0034532A">
        <w:rPr>
          <w:bCs/>
          <w:lang w:val="en-NZ" w:eastAsia="ko-KR"/>
        </w:rPr>
        <w:t>(</w:t>
      </w:r>
      <w:r w:rsidR="0097316C">
        <w:rPr>
          <w:bCs/>
          <w:lang w:val="en-NZ" w:eastAsia="ko-KR"/>
        </w:rPr>
        <w:t>JPN</w:t>
      </w:r>
      <w:r w:rsidR="0097316C" w:rsidRPr="0034532A">
        <w:rPr>
          <w:bCs/>
          <w:lang w:val="en-NZ" w:eastAsia="ko-KR"/>
        </w:rPr>
        <w:t xml:space="preserve">), </w:t>
      </w:r>
      <w:r w:rsidR="00F77408" w:rsidRPr="0034532A">
        <w:rPr>
          <w:bCs/>
          <w:lang w:val="en-NZ" w:eastAsia="ko-KR"/>
        </w:rPr>
        <w:t>APG23-</w:t>
      </w:r>
      <w:r w:rsidR="0097316C">
        <w:rPr>
          <w:bCs/>
          <w:lang w:val="en-NZ" w:eastAsia="ko-KR"/>
        </w:rPr>
        <w:t>6</w:t>
      </w:r>
      <w:r w:rsidR="00F77408" w:rsidRPr="0034532A">
        <w:rPr>
          <w:bCs/>
          <w:lang w:val="en-NZ" w:eastAsia="ko-KR"/>
        </w:rPr>
        <w:t>/INP-</w:t>
      </w:r>
      <w:r w:rsidR="0097316C">
        <w:rPr>
          <w:bCs/>
          <w:lang w:val="en-NZ" w:eastAsia="ko-KR"/>
        </w:rPr>
        <w:t>48</w:t>
      </w:r>
      <w:r w:rsidR="00F77408" w:rsidRPr="0034532A">
        <w:rPr>
          <w:bCs/>
          <w:lang w:val="en-NZ" w:eastAsia="ko-KR"/>
        </w:rPr>
        <w:t>(</w:t>
      </w:r>
      <w:r w:rsidR="0097316C">
        <w:rPr>
          <w:bCs/>
          <w:lang w:val="en-NZ" w:eastAsia="ko-KR"/>
        </w:rPr>
        <w:t>INS</w:t>
      </w:r>
      <w:r w:rsidR="00F77408" w:rsidRPr="0034532A">
        <w:rPr>
          <w:bCs/>
          <w:lang w:val="en-NZ" w:eastAsia="ko-KR"/>
        </w:rPr>
        <w:t>), APG23-</w:t>
      </w:r>
      <w:r w:rsidR="0097316C">
        <w:rPr>
          <w:bCs/>
          <w:lang w:val="en-NZ" w:eastAsia="ko-KR"/>
        </w:rPr>
        <w:t>6</w:t>
      </w:r>
      <w:r w:rsidR="00F77408" w:rsidRPr="0034532A">
        <w:rPr>
          <w:bCs/>
          <w:lang w:val="en-NZ" w:eastAsia="ko-KR"/>
        </w:rPr>
        <w:t>/INP-</w:t>
      </w:r>
      <w:r w:rsidR="0097316C">
        <w:rPr>
          <w:bCs/>
          <w:lang w:val="en-NZ" w:eastAsia="ko-KR"/>
        </w:rPr>
        <w:t>59</w:t>
      </w:r>
      <w:r w:rsidR="00F77408" w:rsidRPr="0034532A">
        <w:rPr>
          <w:bCs/>
          <w:lang w:val="en-NZ" w:eastAsia="ko-KR"/>
        </w:rPr>
        <w:t>(</w:t>
      </w:r>
      <w:r w:rsidR="0097316C">
        <w:rPr>
          <w:bCs/>
          <w:lang w:val="en-NZ" w:eastAsia="ko-KR"/>
        </w:rPr>
        <w:t>THA</w:t>
      </w:r>
      <w:r w:rsidR="00F77408" w:rsidRPr="0034532A">
        <w:rPr>
          <w:bCs/>
          <w:lang w:val="en-NZ" w:eastAsia="ko-KR"/>
        </w:rPr>
        <w:t>), APG23-</w:t>
      </w:r>
      <w:r w:rsidR="0097316C">
        <w:rPr>
          <w:bCs/>
          <w:lang w:val="en-NZ" w:eastAsia="ko-KR"/>
        </w:rPr>
        <w:t>6</w:t>
      </w:r>
      <w:r w:rsidR="00F77408" w:rsidRPr="0034532A">
        <w:rPr>
          <w:bCs/>
          <w:lang w:val="en-NZ" w:eastAsia="ko-KR"/>
        </w:rPr>
        <w:t>/INP-</w:t>
      </w:r>
      <w:r w:rsidR="0097316C">
        <w:rPr>
          <w:bCs/>
          <w:lang w:val="en-NZ" w:eastAsia="ko-KR"/>
        </w:rPr>
        <w:t>66</w:t>
      </w:r>
      <w:r w:rsidR="00122467">
        <w:rPr>
          <w:bCs/>
          <w:lang w:val="en-NZ" w:eastAsia="ko-KR"/>
        </w:rPr>
        <w:t>R1</w:t>
      </w:r>
      <w:r w:rsidR="00F77408" w:rsidRPr="0034532A">
        <w:rPr>
          <w:bCs/>
          <w:lang w:val="en-NZ" w:eastAsia="ko-KR"/>
        </w:rPr>
        <w:t xml:space="preserve">(IRN), </w:t>
      </w:r>
      <w:r w:rsidR="0097316C" w:rsidRPr="0034532A">
        <w:rPr>
          <w:bCs/>
          <w:lang w:val="en-NZ" w:eastAsia="ko-KR"/>
        </w:rPr>
        <w:t>APG23-</w:t>
      </w:r>
      <w:r w:rsidR="0097316C">
        <w:rPr>
          <w:bCs/>
          <w:lang w:val="en-NZ" w:eastAsia="ko-KR"/>
        </w:rPr>
        <w:t>6</w:t>
      </w:r>
      <w:r w:rsidR="0097316C" w:rsidRPr="0034532A">
        <w:rPr>
          <w:bCs/>
          <w:lang w:val="en-NZ" w:eastAsia="ko-KR"/>
        </w:rPr>
        <w:t>/INP-</w:t>
      </w:r>
      <w:r w:rsidR="0097316C">
        <w:rPr>
          <w:bCs/>
          <w:lang w:val="en-NZ" w:eastAsia="ko-KR"/>
        </w:rPr>
        <w:t>81</w:t>
      </w:r>
      <w:r w:rsidR="0097316C" w:rsidRPr="0034532A">
        <w:rPr>
          <w:bCs/>
          <w:lang w:val="en-NZ" w:eastAsia="ko-KR"/>
        </w:rPr>
        <w:t>(AUS), APG23-</w:t>
      </w:r>
      <w:r w:rsidR="0097316C">
        <w:rPr>
          <w:bCs/>
          <w:lang w:val="en-NZ" w:eastAsia="ko-KR"/>
        </w:rPr>
        <w:t>6</w:t>
      </w:r>
      <w:r w:rsidR="0097316C" w:rsidRPr="0034532A">
        <w:rPr>
          <w:bCs/>
          <w:lang w:val="en-NZ" w:eastAsia="ko-KR"/>
        </w:rPr>
        <w:t>/INP-</w:t>
      </w:r>
      <w:r w:rsidR="0097316C">
        <w:rPr>
          <w:bCs/>
          <w:lang w:val="en-NZ" w:eastAsia="ko-KR"/>
        </w:rPr>
        <w:t>88</w:t>
      </w:r>
      <w:r w:rsidR="0097316C" w:rsidRPr="0034532A">
        <w:rPr>
          <w:bCs/>
          <w:lang w:val="en-NZ" w:eastAsia="ko-KR"/>
        </w:rPr>
        <w:t>(KOR),</w:t>
      </w:r>
      <w:r w:rsidR="0097316C">
        <w:rPr>
          <w:bCs/>
          <w:lang w:val="en-NZ" w:eastAsia="ko-KR"/>
        </w:rPr>
        <w:t xml:space="preserve"> </w:t>
      </w:r>
      <w:bookmarkStart w:id="5" w:name="_Hlk142980886"/>
      <w:r w:rsidR="00E07F36" w:rsidRPr="0034532A">
        <w:rPr>
          <w:bCs/>
          <w:lang w:val="en-NZ" w:eastAsia="ko-KR"/>
        </w:rPr>
        <w:t>APG23-</w:t>
      </w:r>
      <w:r w:rsidR="00E07F36">
        <w:rPr>
          <w:bCs/>
          <w:lang w:val="en-NZ" w:eastAsia="ko-KR"/>
        </w:rPr>
        <w:t>6</w:t>
      </w:r>
      <w:r w:rsidR="00E07F36" w:rsidRPr="0034532A">
        <w:rPr>
          <w:bCs/>
          <w:lang w:val="en-NZ" w:eastAsia="ko-KR"/>
        </w:rPr>
        <w:t>/INP-</w:t>
      </w:r>
      <w:r w:rsidR="00E07F36">
        <w:rPr>
          <w:bCs/>
          <w:lang w:val="en-NZ" w:eastAsia="ko-KR"/>
        </w:rPr>
        <w:t>99</w:t>
      </w:r>
      <w:r w:rsidR="00E07F36" w:rsidRPr="0034532A">
        <w:rPr>
          <w:bCs/>
          <w:lang w:val="en-NZ" w:eastAsia="ko-KR"/>
        </w:rPr>
        <w:t>(</w:t>
      </w:r>
      <w:r w:rsidR="00E07F36">
        <w:rPr>
          <w:bCs/>
          <w:lang w:val="en-NZ" w:eastAsia="ko-KR"/>
        </w:rPr>
        <w:t>NZL</w:t>
      </w:r>
      <w:r w:rsidR="00E07F36" w:rsidRPr="0034532A">
        <w:rPr>
          <w:bCs/>
          <w:lang w:val="en-NZ" w:eastAsia="ko-KR"/>
        </w:rPr>
        <w:t>),</w:t>
      </w:r>
      <w:r w:rsidR="00E07F36">
        <w:rPr>
          <w:bCs/>
          <w:lang w:val="en-NZ" w:eastAsia="ko-KR"/>
        </w:rPr>
        <w:t xml:space="preserve"> </w:t>
      </w:r>
      <w:bookmarkEnd w:id="5"/>
      <w:r w:rsidR="0097316C" w:rsidRPr="0034532A">
        <w:rPr>
          <w:bCs/>
          <w:lang w:val="en-NZ" w:eastAsia="ko-KR"/>
        </w:rPr>
        <w:t>APG23-</w:t>
      </w:r>
      <w:r w:rsidR="0097316C">
        <w:rPr>
          <w:bCs/>
          <w:lang w:val="en-NZ" w:eastAsia="ko-KR"/>
        </w:rPr>
        <w:t>6</w:t>
      </w:r>
      <w:r w:rsidR="0097316C" w:rsidRPr="0034532A">
        <w:rPr>
          <w:bCs/>
          <w:lang w:val="en-NZ" w:eastAsia="ko-KR"/>
        </w:rPr>
        <w:t>/INP-</w:t>
      </w:r>
      <w:r w:rsidR="0097316C">
        <w:rPr>
          <w:bCs/>
          <w:lang w:val="en-NZ" w:eastAsia="ko-KR"/>
        </w:rPr>
        <w:t>104</w:t>
      </w:r>
      <w:r w:rsidR="0097316C" w:rsidRPr="0034532A">
        <w:rPr>
          <w:bCs/>
          <w:lang w:val="en-NZ" w:eastAsia="ko-KR"/>
        </w:rPr>
        <w:t>(CHN)</w:t>
      </w:r>
      <w:r w:rsidR="0097316C">
        <w:rPr>
          <w:bCs/>
          <w:lang w:val="en-NZ" w:eastAsia="ko-KR"/>
        </w:rPr>
        <w:t xml:space="preserve">, </w:t>
      </w:r>
      <w:r w:rsidR="0097316C" w:rsidRPr="0034532A">
        <w:rPr>
          <w:bCs/>
          <w:lang w:val="en-NZ" w:eastAsia="ko-KR"/>
        </w:rPr>
        <w:t>APG23-</w:t>
      </w:r>
      <w:r w:rsidR="0097316C">
        <w:rPr>
          <w:bCs/>
          <w:lang w:val="en-NZ" w:eastAsia="ko-KR"/>
        </w:rPr>
        <w:t>6</w:t>
      </w:r>
      <w:r w:rsidR="0097316C" w:rsidRPr="0034532A">
        <w:rPr>
          <w:bCs/>
          <w:lang w:val="en-NZ" w:eastAsia="ko-KR"/>
        </w:rPr>
        <w:t>/INP-</w:t>
      </w:r>
      <w:r w:rsidR="0097316C">
        <w:rPr>
          <w:bCs/>
          <w:lang w:val="en-NZ" w:eastAsia="ko-KR"/>
        </w:rPr>
        <w:t>110</w:t>
      </w:r>
      <w:r w:rsidR="0097316C" w:rsidRPr="0034532A">
        <w:rPr>
          <w:bCs/>
          <w:lang w:val="en-NZ" w:eastAsia="ko-KR"/>
        </w:rPr>
        <w:t>(</w:t>
      </w:r>
      <w:r w:rsidR="009505CE">
        <w:rPr>
          <w:bCs/>
          <w:lang w:val="en-NZ" w:eastAsia="ko-KR"/>
        </w:rPr>
        <w:t>MLA</w:t>
      </w:r>
      <w:r w:rsidR="0097316C" w:rsidRPr="0034532A">
        <w:rPr>
          <w:bCs/>
          <w:lang w:val="en-NZ" w:eastAsia="ko-KR"/>
        </w:rPr>
        <w:t>),</w:t>
      </w:r>
      <w:r w:rsidR="0097316C">
        <w:rPr>
          <w:bCs/>
          <w:lang w:val="en-NZ" w:eastAsia="ko-KR"/>
        </w:rPr>
        <w:t xml:space="preserve"> </w:t>
      </w:r>
      <w:r w:rsidR="00F77408" w:rsidRPr="0034532A">
        <w:rPr>
          <w:bCs/>
          <w:lang w:val="en-NZ" w:eastAsia="ko-KR"/>
        </w:rPr>
        <w:t>APG23-</w:t>
      </w:r>
      <w:r w:rsidR="0097316C">
        <w:rPr>
          <w:bCs/>
          <w:lang w:val="en-NZ" w:eastAsia="ko-KR"/>
        </w:rPr>
        <w:t>6</w:t>
      </w:r>
      <w:r w:rsidR="00F77408" w:rsidRPr="0034532A">
        <w:rPr>
          <w:bCs/>
          <w:lang w:val="en-NZ" w:eastAsia="ko-KR"/>
        </w:rPr>
        <w:t>/INP-</w:t>
      </w:r>
      <w:r w:rsidR="0097316C">
        <w:rPr>
          <w:bCs/>
          <w:lang w:val="en-NZ" w:eastAsia="ko-KR"/>
        </w:rPr>
        <w:t>119</w:t>
      </w:r>
      <w:r w:rsidR="00F77408" w:rsidRPr="0034532A">
        <w:rPr>
          <w:bCs/>
          <w:lang w:val="en-NZ" w:eastAsia="ko-KR"/>
        </w:rPr>
        <w:t>(VTN)</w:t>
      </w:r>
      <w:bookmarkEnd w:id="4"/>
    </w:p>
    <w:p w14:paraId="047BC790" w14:textId="26FE9601" w:rsidR="00941CB3" w:rsidRPr="005F3D76" w:rsidRDefault="00F0196E" w:rsidP="0032417F">
      <w:pPr>
        <w:numPr>
          <w:ilvl w:val="0"/>
          <w:numId w:val="18"/>
        </w:numPr>
        <w:ind w:leftChars="145" w:left="708"/>
        <w:jc w:val="both"/>
        <w:rPr>
          <w:b/>
          <w:lang w:val="en-NZ" w:eastAsia="ko-KR"/>
        </w:rPr>
      </w:pPr>
      <w:r w:rsidRPr="0034532A">
        <w:rPr>
          <w:lang w:val="en-NZ"/>
        </w:rPr>
        <w:t>Information Documents</w:t>
      </w:r>
      <w:bookmarkStart w:id="6" w:name="_Hlk142973778"/>
      <w:r w:rsidR="004112C7" w:rsidRPr="0034532A">
        <w:rPr>
          <w:lang w:val="en-NZ"/>
        </w:rPr>
        <w:t>:</w:t>
      </w:r>
      <w:r w:rsidRPr="0034532A">
        <w:rPr>
          <w:lang w:val="en-NZ"/>
        </w:rPr>
        <w:t xml:space="preserve"> </w:t>
      </w:r>
      <w:r w:rsidR="000114A0" w:rsidRPr="00C37512">
        <w:rPr>
          <w:lang w:val="fr-CH"/>
        </w:rPr>
        <w:t>APG23-6/</w:t>
      </w:r>
      <w:r w:rsidR="00F77408" w:rsidRPr="0034532A">
        <w:rPr>
          <w:lang w:val="en-NZ"/>
        </w:rPr>
        <w:t>INF-</w:t>
      </w:r>
      <w:r w:rsidR="008E4676" w:rsidRPr="008E4676">
        <w:rPr>
          <w:lang w:val="en-NZ"/>
        </w:rPr>
        <w:t>25</w:t>
      </w:r>
      <w:r w:rsidR="00F77408" w:rsidRPr="0034532A">
        <w:rPr>
          <w:lang w:val="en-NZ"/>
        </w:rPr>
        <w:t>(</w:t>
      </w:r>
      <w:r w:rsidR="008E4676">
        <w:rPr>
          <w:lang w:val="en-NZ"/>
        </w:rPr>
        <w:t>ICAO</w:t>
      </w:r>
      <w:r w:rsidR="00F77408" w:rsidRPr="0034532A">
        <w:rPr>
          <w:lang w:val="en-NZ"/>
        </w:rPr>
        <w:t xml:space="preserve">), </w:t>
      </w:r>
      <w:r w:rsidR="000114A0" w:rsidRPr="00C37512">
        <w:rPr>
          <w:lang w:val="fr-CH"/>
        </w:rPr>
        <w:t>APG23-6/</w:t>
      </w:r>
      <w:r w:rsidR="00F77408" w:rsidRPr="0034532A">
        <w:rPr>
          <w:lang w:val="en-NZ"/>
        </w:rPr>
        <w:t>INF-</w:t>
      </w:r>
      <w:r w:rsidR="008E4676">
        <w:rPr>
          <w:lang w:val="en-NZ"/>
        </w:rPr>
        <w:t>26</w:t>
      </w:r>
      <w:r w:rsidR="00F77408" w:rsidRPr="0034532A">
        <w:rPr>
          <w:lang w:val="en-NZ"/>
        </w:rPr>
        <w:t xml:space="preserve"> (</w:t>
      </w:r>
      <w:r w:rsidR="008E4676">
        <w:rPr>
          <w:lang w:val="en-NZ"/>
        </w:rPr>
        <w:t>ICAO</w:t>
      </w:r>
      <w:r w:rsidR="00F77408" w:rsidRPr="0034532A">
        <w:rPr>
          <w:lang w:val="en-NZ"/>
        </w:rPr>
        <w:t xml:space="preserve">), </w:t>
      </w:r>
      <w:r w:rsidR="000114A0" w:rsidRPr="00C37512">
        <w:rPr>
          <w:lang w:val="fr-CH"/>
        </w:rPr>
        <w:t>APG23-6/</w:t>
      </w:r>
      <w:r w:rsidR="000114A0">
        <w:rPr>
          <w:lang w:val="en-NZ"/>
        </w:rPr>
        <w:t>INF-28(GSOA)</w:t>
      </w:r>
      <w:r w:rsidR="000114A0">
        <w:rPr>
          <w:rFonts w:eastAsia="MS Mincho" w:hint="eastAsia"/>
          <w:lang w:val="en-NZ" w:eastAsia="ja-JP"/>
        </w:rPr>
        <w:t>,</w:t>
      </w:r>
      <w:r w:rsidR="000114A0">
        <w:rPr>
          <w:rFonts w:eastAsia="MS Mincho"/>
          <w:lang w:val="en-NZ" w:eastAsia="ja-JP"/>
        </w:rPr>
        <w:t xml:space="preserve"> </w:t>
      </w:r>
      <w:r w:rsidR="000114A0" w:rsidRPr="00C37512">
        <w:rPr>
          <w:lang w:val="fr-CH"/>
        </w:rPr>
        <w:t>APG23-6/</w:t>
      </w:r>
      <w:r w:rsidR="00F77408" w:rsidRPr="0034532A">
        <w:rPr>
          <w:lang w:val="en-NZ"/>
        </w:rPr>
        <w:t xml:space="preserve">INF-45 (RCC), </w:t>
      </w:r>
      <w:r w:rsidR="000114A0" w:rsidRPr="00C37512">
        <w:rPr>
          <w:lang w:val="fr-CH"/>
        </w:rPr>
        <w:t>APG23-6/</w:t>
      </w:r>
      <w:r w:rsidR="00F77408" w:rsidRPr="0034532A">
        <w:rPr>
          <w:lang w:val="en-NZ"/>
        </w:rPr>
        <w:t>INF-</w:t>
      </w:r>
      <w:r w:rsidR="008E4676">
        <w:rPr>
          <w:lang w:val="en-NZ"/>
        </w:rPr>
        <w:t>46</w:t>
      </w:r>
      <w:r w:rsidR="00F77408" w:rsidRPr="0034532A">
        <w:rPr>
          <w:lang w:val="en-NZ"/>
        </w:rPr>
        <w:t>(</w:t>
      </w:r>
      <w:r w:rsidR="008E4676">
        <w:rPr>
          <w:lang w:val="en-NZ"/>
        </w:rPr>
        <w:t>CEPT</w:t>
      </w:r>
      <w:r w:rsidR="00F77408" w:rsidRPr="0034532A">
        <w:rPr>
          <w:lang w:val="en-NZ"/>
        </w:rPr>
        <w:t xml:space="preserve">), </w:t>
      </w:r>
      <w:r w:rsidR="000114A0" w:rsidRPr="00C37512">
        <w:rPr>
          <w:lang w:val="fr-CH"/>
        </w:rPr>
        <w:t>APG23-6/</w:t>
      </w:r>
      <w:r w:rsidR="00F77408" w:rsidRPr="0034532A">
        <w:rPr>
          <w:lang w:val="en-NZ"/>
        </w:rPr>
        <w:t>INF-</w:t>
      </w:r>
      <w:r w:rsidR="008E4676">
        <w:rPr>
          <w:lang w:val="en-NZ"/>
        </w:rPr>
        <w:t>52</w:t>
      </w:r>
      <w:r w:rsidR="00F77408" w:rsidRPr="0034532A">
        <w:rPr>
          <w:lang w:val="en-NZ"/>
        </w:rPr>
        <w:t>(</w:t>
      </w:r>
      <w:r w:rsidR="008E4676">
        <w:rPr>
          <w:lang w:val="en-NZ"/>
        </w:rPr>
        <w:t>CITEL</w:t>
      </w:r>
      <w:r w:rsidR="00F77408" w:rsidRPr="0034532A">
        <w:rPr>
          <w:lang w:val="en-NZ"/>
        </w:rPr>
        <w:t>)</w:t>
      </w:r>
    </w:p>
    <w:bookmarkEnd w:id="6"/>
    <w:p w14:paraId="60BB94C9" w14:textId="77777777" w:rsidR="005F3D76" w:rsidRPr="0034532A" w:rsidRDefault="005F3D76" w:rsidP="005F3D76">
      <w:pPr>
        <w:ind w:left="708"/>
        <w:jc w:val="both"/>
        <w:rPr>
          <w:b/>
          <w:lang w:val="en-NZ" w:eastAsia="ko-KR"/>
        </w:rPr>
      </w:pPr>
    </w:p>
    <w:p w14:paraId="7975AD2E" w14:textId="559C9676" w:rsidR="002A0111" w:rsidRPr="007E61C6" w:rsidRDefault="002A0111" w:rsidP="002A0111">
      <w:pPr>
        <w:rPr>
          <w:b/>
          <w:lang w:val="en-NZ" w:eastAsia="ko-KR"/>
        </w:rPr>
      </w:pPr>
      <w:r w:rsidRPr="0034532A">
        <w:rPr>
          <w:b/>
          <w:lang w:val="en-NZ" w:eastAsia="ko-KR"/>
        </w:rPr>
        <w:t xml:space="preserve">3. </w:t>
      </w:r>
      <w:r w:rsidRPr="0034532A">
        <w:rPr>
          <w:b/>
          <w:lang w:val="en-NZ" w:eastAsia="ko-KR"/>
        </w:rPr>
        <w:tab/>
        <w:t>Summary of discussions</w:t>
      </w:r>
    </w:p>
    <w:p w14:paraId="381256B2" w14:textId="03F80DAA" w:rsidR="00E410C0" w:rsidRDefault="002A0111" w:rsidP="0026001F">
      <w:pPr>
        <w:spacing w:after="120"/>
        <w:jc w:val="both"/>
        <w:rPr>
          <w:b/>
          <w:lang w:val="en-NZ" w:eastAsia="ko-KR"/>
        </w:rPr>
      </w:pPr>
      <w:r w:rsidRPr="007E61C6">
        <w:rPr>
          <w:b/>
          <w:lang w:val="en-NZ" w:eastAsia="ko-KR"/>
        </w:rPr>
        <w:t>3.1</w:t>
      </w:r>
      <w:r w:rsidRPr="007E61C6">
        <w:rPr>
          <w:b/>
          <w:lang w:val="en-NZ" w:eastAsia="ko-KR"/>
        </w:rPr>
        <w:tab/>
        <w:t>S</w:t>
      </w:r>
      <w:r w:rsidRPr="007E61C6">
        <w:rPr>
          <w:rFonts w:hint="eastAsia"/>
          <w:b/>
          <w:lang w:val="en-NZ" w:eastAsia="ko-KR"/>
        </w:rPr>
        <w:t xml:space="preserve">ummary </w:t>
      </w:r>
      <w:r w:rsidRPr="007E61C6">
        <w:rPr>
          <w:b/>
          <w:lang w:val="en-NZ" w:eastAsia="ko-KR"/>
        </w:rPr>
        <w:t>of APT Members’ views</w:t>
      </w:r>
    </w:p>
    <w:p w14:paraId="0DB087E9" w14:textId="10337F22" w:rsidR="0097316C" w:rsidRPr="0034532A" w:rsidRDefault="0097316C" w:rsidP="0097316C">
      <w:pPr>
        <w:spacing w:after="120"/>
        <w:jc w:val="both"/>
        <w:rPr>
          <w:b/>
          <w:lang w:val="en-NZ" w:eastAsia="ko-KR"/>
        </w:rPr>
      </w:pPr>
      <w:r w:rsidRPr="0034532A">
        <w:rPr>
          <w:b/>
          <w:lang w:val="en-NZ" w:eastAsia="ko-KR"/>
        </w:rPr>
        <w:t>3.1.</w:t>
      </w:r>
      <w:r>
        <w:rPr>
          <w:b/>
          <w:lang w:val="en-NZ" w:eastAsia="ko-KR"/>
        </w:rPr>
        <w:t>1</w:t>
      </w:r>
      <w:r w:rsidRPr="0034532A">
        <w:rPr>
          <w:b/>
          <w:lang w:val="en-NZ" w:eastAsia="ko-KR"/>
        </w:rPr>
        <w:tab/>
        <w:t>Australia – Document APG23-</w:t>
      </w:r>
      <w:r>
        <w:rPr>
          <w:b/>
          <w:lang w:val="en-NZ" w:eastAsia="ko-KR"/>
        </w:rPr>
        <w:t>6</w:t>
      </w:r>
      <w:r w:rsidRPr="0034532A">
        <w:rPr>
          <w:b/>
          <w:lang w:val="en-NZ" w:eastAsia="ko-KR"/>
        </w:rPr>
        <w:t>/INP-</w:t>
      </w:r>
      <w:r>
        <w:rPr>
          <w:b/>
          <w:lang w:val="en-NZ" w:eastAsia="ko-KR"/>
        </w:rPr>
        <w:t>81</w:t>
      </w:r>
    </w:p>
    <w:p w14:paraId="485AAE37" w14:textId="77777777" w:rsidR="0097316C" w:rsidRPr="0097316C" w:rsidRDefault="0097316C" w:rsidP="0097316C">
      <w:pPr>
        <w:rPr>
          <w:bCs/>
        </w:rPr>
      </w:pPr>
      <w:r w:rsidRPr="0097316C">
        <w:rPr>
          <w:bCs/>
        </w:rPr>
        <w:t xml:space="preserve">Australia supports possible revision of Resolution </w:t>
      </w:r>
      <w:r w:rsidRPr="00910A1B">
        <w:rPr>
          <w:b/>
        </w:rPr>
        <w:t xml:space="preserve">155 </w:t>
      </w:r>
      <w:r w:rsidRPr="0097316C">
        <w:rPr>
          <w:bCs/>
        </w:rPr>
        <w:t xml:space="preserve">and No </w:t>
      </w:r>
      <w:r w:rsidRPr="00910A1B">
        <w:rPr>
          <w:b/>
        </w:rPr>
        <w:t>5.484A</w:t>
      </w:r>
      <w:r w:rsidRPr="0097316C">
        <w:rPr>
          <w:bCs/>
        </w:rPr>
        <w:t xml:space="preserve"> through further consideration of Method B3 in-line with the Key Principles for UAS CNPC operation as outlined in the CPM Report (Document WRC-23/03), noting that some of the key principles outlined in the CPM Report are not agreed including principles § 6 and 14.</w:t>
      </w:r>
    </w:p>
    <w:p w14:paraId="59DA5323" w14:textId="3631B1A1" w:rsidR="0097316C" w:rsidRPr="0097316C" w:rsidRDefault="0097316C" w:rsidP="0097316C">
      <w:pPr>
        <w:rPr>
          <w:bCs/>
        </w:rPr>
      </w:pPr>
      <w:r w:rsidRPr="0097316C">
        <w:rPr>
          <w:bCs/>
        </w:rPr>
        <w:t>Australia does not propose a Preliminary APT Common Proposal on this agenda item.</w:t>
      </w:r>
    </w:p>
    <w:p w14:paraId="2B783F9C" w14:textId="77777777" w:rsidR="0097316C" w:rsidRPr="0097316C" w:rsidRDefault="0097316C" w:rsidP="0097316C">
      <w:pPr>
        <w:rPr>
          <w:bCs/>
        </w:rPr>
      </w:pPr>
    </w:p>
    <w:p w14:paraId="20BB073E" w14:textId="16892391" w:rsidR="0097316C" w:rsidRPr="0034532A" w:rsidRDefault="0097316C" w:rsidP="0097316C">
      <w:pPr>
        <w:spacing w:after="120"/>
        <w:jc w:val="both"/>
        <w:rPr>
          <w:b/>
          <w:lang w:val="en-NZ" w:eastAsia="ko-KR"/>
        </w:rPr>
      </w:pPr>
      <w:r w:rsidRPr="0034532A">
        <w:rPr>
          <w:b/>
          <w:lang w:val="en-NZ" w:eastAsia="ko-KR"/>
        </w:rPr>
        <w:t>3.1.</w:t>
      </w:r>
      <w:r>
        <w:rPr>
          <w:b/>
          <w:lang w:val="en-NZ" w:eastAsia="ko-KR"/>
        </w:rPr>
        <w:t>2</w:t>
      </w:r>
      <w:r w:rsidRPr="0034532A">
        <w:rPr>
          <w:b/>
          <w:lang w:val="en-NZ" w:eastAsia="ko-KR"/>
        </w:rPr>
        <w:tab/>
        <w:t>China – Document APG23-</w:t>
      </w:r>
      <w:r>
        <w:rPr>
          <w:b/>
          <w:lang w:val="en-NZ" w:eastAsia="ko-KR"/>
        </w:rPr>
        <w:t>6</w:t>
      </w:r>
      <w:r w:rsidRPr="0034532A">
        <w:rPr>
          <w:b/>
          <w:lang w:val="en-NZ" w:eastAsia="ko-KR"/>
        </w:rPr>
        <w:t>/INP-</w:t>
      </w:r>
      <w:r>
        <w:rPr>
          <w:b/>
          <w:lang w:val="en-NZ" w:eastAsia="ko-KR"/>
        </w:rPr>
        <w:t>104</w:t>
      </w:r>
    </w:p>
    <w:p w14:paraId="42118BEC" w14:textId="77777777" w:rsidR="0097316C" w:rsidRDefault="0097316C" w:rsidP="0097316C">
      <w:pPr>
        <w:jc w:val="both"/>
        <w:rPr>
          <w:lang w:eastAsia="zh-CN"/>
        </w:rPr>
      </w:pPr>
      <w:r w:rsidRPr="00493530">
        <w:rPr>
          <w:lang w:eastAsia="zh-CN"/>
        </w:rPr>
        <w:t>China proposes to adopt Method A as the solution of AI 1.8 based on the fact that the safety-of-life issue related to UAS CNPC operation are not appropriately addressed and the responsibilities of administrations involved in the operation of UAS CNPC systems, especially those in respect of the safety-of-life aspects are not defined clearly.</w:t>
      </w:r>
    </w:p>
    <w:p w14:paraId="6B2B2E74" w14:textId="77777777" w:rsidR="00D870C6" w:rsidRPr="0034532A" w:rsidRDefault="00D870C6" w:rsidP="00D870C6"/>
    <w:p w14:paraId="17EDC01D" w14:textId="1F6F2639" w:rsidR="00D870C6" w:rsidRPr="0034532A" w:rsidRDefault="0026001F" w:rsidP="00D870C6">
      <w:pPr>
        <w:spacing w:after="120"/>
        <w:jc w:val="both"/>
        <w:rPr>
          <w:b/>
          <w:lang w:val="en-NZ" w:eastAsia="ko-KR"/>
        </w:rPr>
      </w:pPr>
      <w:r w:rsidRPr="0034532A">
        <w:rPr>
          <w:b/>
          <w:lang w:val="en-NZ" w:eastAsia="ko-KR"/>
        </w:rPr>
        <w:t>3.1.</w:t>
      </w:r>
      <w:r w:rsidR="0097316C">
        <w:rPr>
          <w:b/>
          <w:lang w:val="en-NZ" w:eastAsia="ko-KR"/>
        </w:rPr>
        <w:t>3</w:t>
      </w:r>
      <w:r w:rsidRPr="0034532A">
        <w:rPr>
          <w:b/>
          <w:lang w:val="en-NZ" w:eastAsia="ko-KR"/>
        </w:rPr>
        <w:t xml:space="preserve"> </w:t>
      </w:r>
      <w:r w:rsidRPr="0034532A">
        <w:rPr>
          <w:b/>
          <w:lang w:val="en-NZ" w:eastAsia="ko-KR"/>
        </w:rPr>
        <w:tab/>
      </w:r>
      <w:r w:rsidR="00D870C6" w:rsidRPr="0034532A">
        <w:rPr>
          <w:b/>
          <w:lang w:val="en-NZ" w:eastAsia="ko-KR"/>
        </w:rPr>
        <w:t>Indonesia – Document APG23-</w:t>
      </w:r>
      <w:r w:rsidR="00D870C6">
        <w:rPr>
          <w:b/>
          <w:lang w:val="en-NZ" w:eastAsia="ko-KR"/>
        </w:rPr>
        <w:t>6</w:t>
      </w:r>
      <w:r w:rsidR="00D870C6" w:rsidRPr="0034532A">
        <w:rPr>
          <w:b/>
          <w:lang w:val="en-NZ" w:eastAsia="ko-KR"/>
        </w:rPr>
        <w:t>/INP-</w:t>
      </w:r>
      <w:r w:rsidR="00D870C6">
        <w:rPr>
          <w:b/>
          <w:lang w:val="en-NZ" w:eastAsia="ko-KR"/>
        </w:rPr>
        <w:t>48</w:t>
      </w:r>
    </w:p>
    <w:p w14:paraId="65AD8E4D" w14:textId="00BD78D0" w:rsidR="00B467D3" w:rsidRDefault="008A1473" w:rsidP="005A4A73">
      <w:pPr>
        <w:rPr>
          <w:bCs/>
        </w:rPr>
      </w:pPr>
      <w:r w:rsidRPr="008A1473">
        <w:rPr>
          <w:bCs/>
        </w:rPr>
        <w:t>Indonesia is of the view that Agenda Item 1.8 WRC-23 needs further consideration, provided that the completion of ICAO SARPs for the use of the FSS networks for the UAS CNPC has been achieved.</w:t>
      </w:r>
    </w:p>
    <w:p w14:paraId="7FD070F7" w14:textId="77777777" w:rsidR="0097316C" w:rsidRDefault="0097316C" w:rsidP="005A4A73">
      <w:pPr>
        <w:rPr>
          <w:bCs/>
        </w:rPr>
      </w:pPr>
    </w:p>
    <w:p w14:paraId="4DA4BC24" w14:textId="6E598962" w:rsidR="0097316C" w:rsidRPr="0034532A" w:rsidRDefault="0097316C" w:rsidP="0097316C">
      <w:pPr>
        <w:spacing w:after="120"/>
        <w:jc w:val="both"/>
        <w:rPr>
          <w:b/>
          <w:lang w:val="en-NZ" w:eastAsia="ko-KR"/>
        </w:rPr>
      </w:pPr>
      <w:r w:rsidRPr="0034532A">
        <w:rPr>
          <w:b/>
          <w:lang w:val="en-NZ" w:eastAsia="ko-KR"/>
        </w:rPr>
        <w:t>3.1.4</w:t>
      </w:r>
      <w:r w:rsidR="00C74DA6">
        <w:rPr>
          <w:rFonts w:ascii="MS Mincho" w:eastAsia="MS Mincho" w:hAnsi="MS Mincho"/>
          <w:b/>
          <w:lang w:val="en-NZ" w:eastAsia="ja-JP"/>
        </w:rPr>
        <w:tab/>
      </w:r>
      <w:r>
        <w:rPr>
          <w:b/>
          <w:lang w:val="en-NZ" w:eastAsia="ko-KR"/>
        </w:rPr>
        <w:t>Iran</w:t>
      </w:r>
      <w:r w:rsidRPr="0034532A">
        <w:rPr>
          <w:b/>
          <w:lang w:val="en-NZ" w:eastAsia="ko-KR"/>
        </w:rPr>
        <w:t xml:space="preserve"> – Document APG23-</w:t>
      </w:r>
      <w:r>
        <w:rPr>
          <w:b/>
          <w:lang w:val="en-NZ" w:eastAsia="ko-KR"/>
        </w:rPr>
        <w:t>6</w:t>
      </w:r>
      <w:r w:rsidRPr="0034532A">
        <w:rPr>
          <w:b/>
          <w:lang w:val="en-NZ" w:eastAsia="ko-KR"/>
        </w:rPr>
        <w:t>/INP-</w:t>
      </w:r>
      <w:r>
        <w:rPr>
          <w:b/>
          <w:lang w:val="en-NZ" w:eastAsia="ko-KR"/>
        </w:rPr>
        <w:t>66</w:t>
      </w:r>
      <w:r w:rsidR="008F3B16">
        <w:rPr>
          <w:b/>
          <w:lang w:val="en-NZ" w:eastAsia="ko-KR"/>
        </w:rPr>
        <w:t xml:space="preserve"> (Rev.1)</w:t>
      </w:r>
    </w:p>
    <w:p w14:paraId="43D2957B" w14:textId="77777777" w:rsidR="0097316C" w:rsidRDefault="0097316C" w:rsidP="0097316C">
      <w:pPr>
        <w:spacing w:after="120"/>
        <w:jc w:val="both"/>
      </w:pPr>
      <w:r w:rsidRPr="00D870C6">
        <w:t xml:space="preserve">The Administration of Iran (Islamic Republic of) firmly supports Method A for the reasons given section above. Namely proposes to suppress RR No. </w:t>
      </w:r>
      <w:r w:rsidRPr="00910A1B">
        <w:rPr>
          <w:b/>
          <w:bCs/>
        </w:rPr>
        <w:t xml:space="preserve">5.484B </w:t>
      </w:r>
      <w:r w:rsidRPr="00D870C6">
        <w:t xml:space="preserve">together with Resolution </w:t>
      </w:r>
      <w:r w:rsidRPr="00910A1B">
        <w:rPr>
          <w:b/>
          <w:bCs/>
        </w:rPr>
        <w:t>155 (Rev.WRC-19)</w:t>
      </w:r>
      <w:r w:rsidRPr="00D870C6">
        <w:t xml:space="preserve"> as well as Resolution</w:t>
      </w:r>
      <w:r w:rsidRPr="00910A1B">
        <w:rPr>
          <w:b/>
          <w:bCs/>
        </w:rPr>
        <w:t xml:space="preserve"> 171 (WRC-19)</w:t>
      </w:r>
      <w:r w:rsidRPr="00D870C6">
        <w:t>.</w:t>
      </w:r>
    </w:p>
    <w:p w14:paraId="3A3A8CCC" w14:textId="77777777" w:rsidR="0097316C" w:rsidRDefault="0097316C" w:rsidP="005A4A73">
      <w:pPr>
        <w:rPr>
          <w:bCs/>
        </w:rPr>
      </w:pPr>
    </w:p>
    <w:p w14:paraId="0A7D0F1A" w14:textId="32DBDB85" w:rsidR="0097316C" w:rsidRPr="0034532A" w:rsidRDefault="0097316C" w:rsidP="0097316C">
      <w:pPr>
        <w:spacing w:after="120"/>
        <w:jc w:val="both"/>
        <w:rPr>
          <w:b/>
          <w:lang w:val="en-NZ" w:eastAsia="ko-KR"/>
        </w:rPr>
      </w:pPr>
      <w:r w:rsidRPr="0034532A">
        <w:rPr>
          <w:b/>
          <w:lang w:val="en-NZ" w:eastAsia="ko-KR"/>
        </w:rPr>
        <w:t>3.1.</w:t>
      </w:r>
      <w:r>
        <w:rPr>
          <w:b/>
          <w:lang w:val="en-NZ" w:eastAsia="ko-KR"/>
        </w:rPr>
        <w:t>5</w:t>
      </w:r>
      <w:r w:rsidRPr="0034532A">
        <w:rPr>
          <w:b/>
          <w:lang w:val="en-NZ" w:eastAsia="ko-KR"/>
        </w:rPr>
        <w:tab/>
        <w:t>Japan - Document APG23-</w:t>
      </w:r>
      <w:r>
        <w:rPr>
          <w:b/>
          <w:lang w:val="en-NZ" w:eastAsia="ko-KR"/>
        </w:rPr>
        <w:t>6</w:t>
      </w:r>
      <w:r w:rsidRPr="0034532A">
        <w:rPr>
          <w:b/>
          <w:lang w:val="en-NZ" w:eastAsia="ko-KR"/>
        </w:rPr>
        <w:t>/INP-</w:t>
      </w:r>
      <w:r>
        <w:rPr>
          <w:b/>
          <w:lang w:val="en-NZ" w:eastAsia="ko-KR"/>
        </w:rPr>
        <w:t>31</w:t>
      </w:r>
      <w:r w:rsidRPr="00D870C6">
        <w:rPr>
          <w:b/>
          <w:lang w:val="en-NZ" w:eastAsia="ko-KR"/>
        </w:rPr>
        <w:t xml:space="preserve"> </w:t>
      </w:r>
    </w:p>
    <w:p w14:paraId="7AB91057" w14:textId="65A1F702" w:rsidR="0097316C" w:rsidRDefault="0097316C" w:rsidP="0097316C">
      <w:pPr>
        <w:rPr>
          <w:bCs/>
        </w:rPr>
      </w:pPr>
      <w:r w:rsidRPr="00D870C6">
        <w:rPr>
          <w:bCs/>
        </w:rPr>
        <w:t>Japan does not support Method A at this stage. It should be noted that the UAS CNPC should not adversely affect existing services in the same or adjacent bands of the frequency bands where the UAS CNPC is expected to be used.</w:t>
      </w:r>
    </w:p>
    <w:p w14:paraId="118E0529" w14:textId="77777777" w:rsidR="0097316C" w:rsidRDefault="0097316C" w:rsidP="0097316C">
      <w:pPr>
        <w:rPr>
          <w:bCs/>
        </w:rPr>
      </w:pPr>
    </w:p>
    <w:p w14:paraId="6D36B21B" w14:textId="65EA2BAE" w:rsidR="0097316C" w:rsidRPr="0034532A" w:rsidRDefault="0097316C" w:rsidP="0097316C">
      <w:pPr>
        <w:spacing w:after="120"/>
        <w:jc w:val="both"/>
        <w:rPr>
          <w:b/>
          <w:lang w:val="en-NZ" w:eastAsia="ko-KR"/>
        </w:rPr>
      </w:pPr>
      <w:r w:rsidRPr="0034532A">
        <w:rPr>
          <w:b/>
          <w:lang w:val="en-NZ" w:eastAsia="ko-KR"/>
        </w:rPr>
        <w:t>3.1.6</w:t>
      </w:r>
      <w:r w:rsidRPr="0034532A">
        <w:rPr>
          <w:b/>
          <w:lang w:val="en-NZ" w:eastAsia="ko-KR"/>
        </w:rPr>
        <w:tab/>
        <w:t xml:space="preserve">Korea </w:t>
      </w:r>
      <w:r w:rsidR="009505CE">
        <w:rPr>
          <w:b/>
          <w:lang w:val="en-NZ" w:eastAsia="ko-KR"/>
        </w:rPr>
        <w:t>(Republic of)</w:t>
      </w:r>
      <w:r w:rsidRPr="0034532A">
        <w:rPr>
          <w:b/>
          <w:lang w:val="en-NZ" w:eastAsia="ko-KR"/>
        </w:rPr>
        <w:t>– Document APG23-</w:t>
      </w:r>
      <w:r>
        <w:rPr>
          <w:b/>
          <w:lang w:val="en-NZ" w:eastAsia="ko-KR"/>
        </w:rPr>
        <w:t>6</w:t>
      </w:r>
      <w:r w:rsidRPr="0034532A">
        <w:rPr>
          <w:b/>
          <w:lang w:val="en-NZ" w:eastAsia="ko-KR"/>
        </w:rPr>
        <w:t>/INP-</w:t>
      </w:r>
      <w:r>
        <w:rPr>
          <w:b/>
          <w:lang w:val="en-NZ" w:eastAsia="ko-KR"/>
        </w:rPr>
        <w:t>88</w:t>
      </w:r>
    </w:p>
    <w:p w14:paraId="40B14F29" w14:textId="73826037" w:rsidR="0097316C" w:rsidRPr="0097316C" w:rsidRDefault="0097316C" w:rsidP="0097316C">
      <w:pPr>
        <w:rPr>
          <w:bCs/>
        </w:rPr>
      </w:pPr>
      <w:r w:rsidRPr="0097316C">
        <w:rPr>
          <w:bCs/>
        </w:rPr>
        <w:t xml:space="preserve">The Republic of Korea supports the intention of Method B described in the CPM Report that proposes revising Resolution </w:t>
      </w:r>
      <w:r w:rsidRPr="00910A1B">
        <w:rPr>
          <w:b/>
        </w:rPr>
        <w:t>155 (Rev.WRC-19)</w:t>
      </w:r>
      <w:r w:rsidRPr="0097316C">
        <w:rPr>
          <w:bCs/>
        </w:rPr>
        <w:t>. When developing regulatory provisions under the Method B, the protection of other systems or services operating in accordance with the Radio Regulations should be ensured.</w:t>
      </w:r>
    </w:p>
    <w:p w14:paraId="6BB20B13" w14:textId="77777777" w:rsidR="0097316C" w:rsidRDefault="0097316C" w:rsidP="0097316C">
      <w:pPr>
        <w:spacing w:afterLines="60" w:after="144"/>
        <w:jc w:val="both"/>
        <w:rPr>
          <w:lang w:eastAsia="ko-KR"/>
        </w:rPr>
      </w:pPr>
    </w:p>
    <w:p w14:paraId="4C02AF45" w14:textId="764FFE57" w:rsidR="0097316C" w:rsidRPr="0034532A" w:rsidRDefault="0097316C" w:rsidP="0097316C">
      <w:pPr>
        <w:spacing w:after="120"/>
        <w:jc w:val="both"/>
        <w:rPr>
          <w:b/>
          <w:lang w:val="en-NZ" w:eastAsia="ko-KR"/>
        </w:rPr>
      </w:pPr>
      <w:r w:rsidRPr="0034532A">
        <w:rPr>
          <w:b/>
          <w:lang w:val="en-NZ" w:eastAsia="ko-KR"/>
        </w:rPr>
        <w:t>3.1.</w:t>
      </w:r>
      <w:r>
        <w:rPr>
          <w:b/>
          <w:lang w:val="en-NZ" w:eastAsia="ko-KR"/>
        </w:rPr>
        <w:t>7</w:t>
      </w:r>
      <w:r w:rsidRPr="0034532A">
        <w:rPr>
          <w:b/>
          <w:lang w:val="en-NZ" w:eastAsia="ko-KR"/>
        </w:rPr>
        <w:tab/>
      </w:r>
      <w:r>
        <w:rPr>
          <w:b/>
          <w:lang w:val="en-NZ" w:eastAsia="ko-KR"/>
        </w:rPr>
        <w:t>Malaysia</w:t>
      </w:r>
      <w:r w:rsidRPr="0034532A">
        <w:rPr>
          <w:b/>
          <w:lang w:val="en-NZ" w:eastAsia="ko-KR"/>
        </w:rPr>
        <w:t xml:space="preserve"> – Document APG23-</w:t>
      </w:r>
      <w:r>
        <w:rPr>
          <w:b/>
          <w:lang w:val="en-NZ" w:eastAsia="ko-KR"/>
        </w:rPr>
        <w:t>6</w:t>
      </w:r>
      <w:r w:rsidRPr="0034532A">
        <w:rPr>
          <w:b/>
          <w:lang w:val="en-NZ" w:eastAsia="ko-KR"/>
        </w:rPr>
        <w:t>/INP-</w:t>
      </w:r>
      <w:r>
        <w:rPr>
          <w:b/>
          <w:lang w:val="en-NZ" w:eastAsia="ko-KR"/>
        </w:rPr>
        <w:t>110</w:t>
      </w:r>
    </w:p>
    <w:p w14:paraId="1E0AC269" w14:textId="77777777" w:rsidR="0097316C" w:rsidRPr="00493530" w:rsidRDefault="0097316C" w:rsidP="0097316C">
      <w:pPr>
        <w:jc w:val="both"/>
        <w:rPr>
          <w:rFonts w:eastAsiaTheme="minorEastAsia"/>
          <w:lang w:eastAsia="zh-CN"/>
        </w:rPr>
      </w:pPr>
      <w:r>
        <w:rPr>
          <w:lang w:eastAsia="zh-CN"/>
        </w:rPr>
        <w:lastRenderedPageBreak/>
        <w:t>Due to the complexity of the agenda item, Malaysia is considering Method A at this moment.</w:t>
      </w:r>
    </w:p>
    <w:p w14:paraId="1DD0EF8B" w14:textId="77777777" w:rsidR="0097316C" w:rsidRDefault="0097316C" w:rsidP="0097316C">
      <w:pPr>
        <w:jc w:val="both"/>
        <w:rPr>
          <w:lang w:eastAsia="zh-CN"/>
        </w:rPr>
      </w:pPr>
      <w:r>
        <w:rPr>
          <w:lang w:eastAsia="zh-CN"/>
        </w:rPr>
        <w:t>Nevertheless, if all safety issues of the UA CNPC links operated under FSS frequency bands have been resolved at WRC-23, Malaysia may consider Method B.</w:t>
      </w:r>
    </w:p>
    <w:p w14:paraId="204E5F26" w14:textId="77777777" w:rsidR="0097316C" w:rsidRPr="0097316C" w:rsidRDefault="0097316C" w:rsidP="0097316C">
      <w:pPr>
        <w:spacing w:afterLines="60" w:after="144"/>
        <w:jc w:val="both"/>
        <w:rPr>
          <w:lang w:eastAsia="ko-KR"/>
        </w:rPr>
      </w:pPr>
    </w:p>
    <w:p w14:paraId="0E4F983B" w14:textId="45A4D172" w:rsidR="0097316C" w:rsidRPr="0034532A" w:rsidRDefault="0097316C" w:rsidP="0097316C">
      <w:pPr>
        <w:spacing w:after="120"/>
        <w:jc w:val="both"/>
        <w:rPr>
          <w:b/>
          <w:lang w:val="en-NZ" w:eastAsia="ko-KR"/>
        </w:rPr>
      </w:pPr>
      <w:r w:rsidRPr="0034532A">
        <w:rPr>
          <w:b/>
          <w:lang w:val="en-NZ" w:eastAsia="ko-KR"/>
        </w:rPr>
        <w:t>3.1.</w:t>
      </w:r>
      <w:r>
        <w:rPr>
          <w:b/>
          <w:lang w:val="en-NZ" w:eastAsia="ko-KR"/>
        </w:rPr>
        <w:t>8</w:t>
      </w:r>
      <w:r w:rsidRPr="0034532A">
        <w:rPr>
          <w:b/>
          <w:lang w:val="en-NZ" w:eastAsia="ko-KR"/>
        </w:rPr>
        <w:tab/>
        <w:t>New Zealand – Document APG23-</w:t>
      </w:r>
      <w:r>
        <w:rPr>
          <w:b/>
          <w:lang w:val="en-NZ" w:eastAsia="ko-KR"/>
        </w:rPr>
        <w:t>6</w:t>
      </w:r>
      <w:r w:rsidRPr="0034532A">
        <w:rPr>
          <w:b/>
          <w:lang w:val="en-NZ" w:eastAsia="ko-KR"/>
        </w:rPr>
        <w:t>/INP-</w:t>
      </w:r>
      <w:r>
        <w:rPr>
          <w:b/>
          <w:lang w:val="en-NZ" w:eastAsia="ko-KR"/>
        </w:rPr>
        <w:t>99</w:t>
      </w:r>
    </w:p>
    <w:p w14:paraId="1E8FC203" w14:textId="77777777" w:rsidR="0097316C" w:rsidRDefault="0097316C" w:rsidP="0097316C">
      <w:pPr>
        <w:jc w:val="both"/>
      </w:pPr>
      <w:r>
        <w:t xml:space="preserve">New Zealand supports Method A, to </w:t>
      </w:r>
      <w:bookmarkStart w:id="7" w:name="_Hlk141213800"/>
      <w:r>
        <w:t xml:space="preserve">suppress RR No. </w:t>
      </w:r>
      <w:r>
        <w:rPr>
          <w:b/>
          <w:bCs/>
        </w:rPr>
        <w:t>5.484B</w:t>
      </w:r>
      <w:r>
        <w:t xml:space="preserve">, Resolution </w:t>
      </w:r>
      <w:r>
        <w:rPr>
          <w:b/>
          <w:bCs/>
        </w:rPr>
        <w:t>155</w:t>
      </w:r>
      <w:r>
        <w:t xml:space="preserve"> </w:t>
      </w:r>
      <w:r w:rsidRPr="00910A1B">
        <w:rPr>
          <w:b/>
          <w:bCs/>
        </w:rPr>
        <w:t>(Rev.WRC-19)</w:t>
      </w:r>
      <w:r>
        <w:t xml:space="preserve"> and Resolution </w:t>
      </w:r>
      <w:r>
        <w:rPr>
          <w:b/>
          <w:bCs/>
        </w:rPr>
        <w:t>171</w:t>
      </w:r>
      <w:r w:rsidRPr="00910A1B">
        <w:rPr>
          <w:b/>
          <w:bCs/>
        </w:rPr>
        <w:t xml:space="preserve"> (WRC-19)</w:t>
      </w:r>
      <w:bookmarkEnd w:id="7"/>
      <w:r>
        <w:t>.</w:t>
      </w:r>
    </w:p>
    <w:p w14:paraId="0C12B7DF" w14:textId="77777777" w:rsidR="0097316C" w:rsidRDefault="0097316C" w:rsidP="0097316C">
      <w:pPr>
        <w:jc w:val="both"/>
      </w:pPr>
    </w:p>
    <w:p w14:paraId="4524A421" w14:textId="77777777" w:rsidR="0097316C" w:rsidRDefault="0097316C" w:rsidP="0097316C">
      <w:pPr>
        <w:jc w:val="both"/>
      </w:pPr>
      <w:r>
        <w:t xml:space="preserve">New Zealand and proposes the following </w:t>
      </w:r>
      <w:r>
        <w:rPr>
          <w:b/>
          <w:bCs/>
        </w:rPr>
        <w:t>Preliminary APT Common Proposal</w:t>
      </w:r>
    </w:p>
    <w:p w14:paraId="29B94FB8" w14:textId="77777777" w:rsidR="0097316C" w:rsidRDefault="0097316C" w:rsidP="0097316C">
      <w:pPr>
        <w:jc w:val="both"/>
      </w:pPr>
    </w:p>
    <w:bookmarkStart w:id="8" w:name="_MON_1753842415"/>
    <w:bookmarkEnd w:id="8"/>
    <w:p w14:paraId="4534157E" w14:textId="30476D27" w:rsidR="0097316C" w:rsidRDefault="0097316C" w:rsidP="0097316C">
      <w:pPr>
        <w:jc w:val="both"/>
      </w:pPr>
      <w:r>
        <w:object w:dxaOrig="1613" w:dyaOrig="1035" w14:anchorId="2E22F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52.15pt" o:ole="">
            <v:imagedata r:id="rId11" o:title=""/>
          </v:shape>
          <o:OLEObject Type="Embed" ProgID="Word.Document.12" ShapeID="_x0000_i1025" DrawAspect="Icon" ObjectID="_1753855485" r:id="rId12">
            <o:FieldCodes>\s</o:FieldCodes>
          </o:OLEObject>
        </w:object>
      </w:r>
    </w:p>
    <w:p w14:paraId="1029A409" w14:textId="77777777" w:rsidR="008A1473" w:rsidRPr="0034532A" w:rsidRDefault="008A1473" w:rsidP="005A4A73"/>
    <w:p w14:paraId="2EC92DCE" w14:textId="7BF85ABA" w:rsidR="005A4A73" w:rsidRPr="0034532A" w:rsidRDefault="005A4A73" w:rsidP="005A4A73">
      <w:pPr>
        <w:spacing w:after="120"/>
        <w:jc w:val="both"/>
        <w:rPr>
          <w:b/>
          <w:lang w:val="en-NZ" w:eastAsia="ko-KR"/>
        </w:rPr>
      </w:pPr>
      <w:r w:rsidRPr="0034532A">
        <w:rPr>
          <w:b/>
          <w:lang w:val="en-NZ" w:eastAsia="ko-KR"/>
        </w:rPr>
        <w:t>3.1.</w:t>
      </w:r>
      <w:r w:rsidR="0097316C">
        <w:rPr>
          <w:b/>
          <w:lang w:val="en-NZ" w:eastAsia="ko-KR"/>
        </w:rPr>
        <w:t>9</w:t>
      </w:r>
      <w:r w:rsidR="00C74DA6">
        <w:rPr>
          <w:rFonts w:ascii="MS Mincho" w:eastAsia="MS Mincho" w:hAnsi="MS Mincho"/>
          <w:b/>
          <w:lang w:val="en-NZ" w:eastAsia="ja-JP"/>
        </w:rPr>
        <w:tab/>
      </w:r>
      <w:r w:rsidR="00D870C6">
        <w:rPr>
          <w:b/>
          <w:lang w:val="en-NZ" w:eastAsia="ko-KR"/>
        </w:rPr>
        <w:t>Thailand</w:t>
      </w:r>
      <w:r w:rsidR="009505CE">
        <w:rPr>
          <w:b/>
          <w:lang w:val="en-NZ" w:eastAsia="ko-KR"/>
        </w:rPr>
        <w:t xml:space="preserve"> (Kingdom of)</w:t>
      </w:r>
      <w:r w:rsidRPr="0034532A">
        <w:rPr>
          <w:b/>
          <w:lang w:val="en-NZ" w:eastAsia="ko-KR"/>
        </w:rPr>
        <w:t>- Document APG23-</w:t>
      </w:r>
      <w:r w:rsidR="00D870C6">
        <w:rPr>
          <w:b/>
          <w:lang w:val="en-NZ" w:eastAsia="ko-KR"/>
        </w:rPr>
        <w:t>6</w:t>
      </w:r>
      <w:r w:rsidRPr="0034532A">
        <w:rPr>
          <w:b/>
          <w:lang w:val="en-NZ" w:eastAsia="ko-KR"/>
        </w:rPr>
        <w:t>/INP-</w:t>
      </w:r>
      <w:r w:rsidR="00D870C6">
        <w:rPr>
          <w:b/>
          <w:lang w:val="en-NZ" w:eastAsia="ko-KR"/>
        </w:rPr>
        <w:t>59</w:t>
      </w:r>
      <w:r w:rsidRPr="0034532A">
        <w:rPr>
          <w:b/>
          <w:lang w:val="en-NZ" w:eastAsia="ko-KR"/>
        </w:rPr>
        <w:tab/>
      </w:r>
    </w:p>
    <w:p w14:paraId="1627D399" w14:textId="77777777" w:rsidR="00D870C6" w:rsidRDefault="00D870C6" w:rsidP="00D870C6">
      <w:pPr>
        <w:rPr>
          <w:bCs/>
        </w:rPr>
      </w:pPr>
      <w:r w:rsidRPr="00D870C6">
        <w:rPr>
          <w:rFonts w:hint="eastAsia"/>
          <w:bCs/>
        </w:rPr>
        <w:t xml:space="preserve">Thailand is of the view that the approach to revise RR No. </w:t>
      </w:r>
      <w:r w:rsidRPr="00910A1B">
        <w:rPr>
          <w:rFonts w:hint="eastAsia"/>
          <w:b/>
        </w:rPr>
        <w:t xml:space="preserve">5.484B </w:t>
      </w:r>
      <w:r w:rsidRPr="00D870C6">
        <w:rPr>
          <w:rFonts w:hint="eastAsia"/>
          <w:bCs/>
        </w:rPr>
        <w:t xml:space="preserve">and Resolution </w:t>
      </w:r>
      <w:r w:rsidRPr="00910A1B">
        <w:rPr>
          <w:rFonts w:hint="eastAsia"/>
          <w:b/>
        </w:rPr>
        <w:t>155 (Rev.WRC-19)</w:t>
      </w:r>
      <w:r w:rsidRPr="00D870C6">
        <w:rPr>
          <w:rFonts w:hint="eastAsia"/>
          <w:bCs/>
        </w:rPr>
        <w:t>, by taking into account all required technical, operational and regulatory conditions that UAS CNPC links need to comply with, is sufficient to ensure protection of existing and future FSS networks or terrestrial services. Therefore, Thailand prefers Method B2 in the CPM Report.</w:t>
      </w:r>
    </w:p>
    <w:p w14:paraId="06C2F686" w14:textId="02ABDC1C" w:rsidR="00D870C6" w:rsidRPr="00D870C6" w:rsidRDefault="00D870C6" w:rsidP="00D870C6">
      <w:pPr>
        <w:rPr>
          <w:bCs/>
        </w:rPr>
      </w:pPr>
      <w:r w:rsidRPr="00D870C6">
        <w:rPr>
          <w:rFonts w:hint="eastAsia"/>
          <w:bCs/>
        </w:rPr>
        <w:t>Thailand is also of the view that WRC-23 should address and agree on the resolution to the issue of safety of life referred to in RR No.</w:t>
      </w:r>
      <w:r w:rsidRPr="00910A1B">
        <w:rPr>
          <w:rFonts w:hint="eastAsia"/>
          <w:b/>
        </w:rPr>
        <w:t xml:space="preserve"> 4.10</w:t>
      </w:r>
      <w:r w:rsidRPr="00D870C6">
        <w:rPr>
          <w:rFonts w:hint="eastAsia"/>
          <w:bCs/>
        </w:rPr>
        <w:t>.</w:t>
      </w:r>
    </w:p>
    <w:p w14:paraId="02EEE1CF" w14:textId="1FA0AE63" w:rsidR="00493530" w:rsidRPr="0097316C" w:rsidRDefault="005A4A73" w:rsidP="0097316C">
      <w:pPr>
        <w:pStyle w:val="enumlev1"/>
        <w:spacing w:before="0"/>
        <w:ind w:left="0" w:firstLine="0"/>
        <w:jc w:val="both"/>
        <w:rPr>
          <w:rFonts w:ascii="Times New Roman" w:hAnsi="Times New Roman"/>
        </w:rPr>
      </w:pPr>
      <w:r w:rsidRPr="0034532A">
        <w:rPr>
          <w:rFonts w:ascii="Times New Roman" w:hAnsi="Times New Roman"/>
          <w:lang w:bidi="fa-IR"/>
        </w:rPr>
        <w:t xml:space="preserve"> </w:t>
      </w:r>
      <w:r w:rsidRPr="0034532A" w:rsidDel="00DE1319">
        <w:rPr>
          <w:rFonts w:ascii="Times New Roman" w:hAnsi="Times New Roman"/>
          <w:szCs w:val="24"/>
          <w:lang w:val="en-US" w:bidi="fa-IR"/>
        </w:rPr>
        <w:t xml:space="preserve"> </w:t>
      </w:r>
      <w:r w:rsidRPr="0034532A">
        <w:rPr>
          <w:rFonts w:ascii="Times New Roman" w:hAnsi="Times New Roman"/>
        </w:rPr>
        <w:t xml:space="preserve"> </w:t>
      </w:r>
    </w:p>
    <w:p w14:paraId="0DC82486" w14:textId="319ED65E" w:rsidR="00493530" w:rsidRPr="0034532A" w:rsidRDefault="00493530" w:rsidP="00493530">
      <w:pPr>
        <w:spacing w:after="120"/>
        <w:jc w:val="both"/>
        <w:rPr>
          <w:b/>
          <w:lang w:val="en-NZ" w:eastAsia="ko-KR"/>
        </w:rPr>
      </w:pPr>
      <w:r w:rsidRPr="0034532A">
        <w:rPr>
          <w:b/>
          <w:lang w:val="en-NZ" w:eastAsia="ko-KR"/>
        </w:rPr>
        <w:t>3.1.</w:t>
      </w:r>
      <w:r>
        <w:rPr>
          <w:b/>
          <w:lang w:val="en-NZ" w:eastAsia="ko-KR"/>
        </w:rPr>
        <w:t>10</w:t>
      </w:r>
      <w:r w:rsidRPr="0034532A">
        <w:rPr>
          <w:b/>
          <w:lang w:val="en-NZ" w:eastAsia="ko-KR"/>
        </w:rPr>
        <w:tab/>
      </w:r>
      <w:r>
        <w:rPr>
          <w:b/>
          <w:lang w:val="en-NZ" w:eastAsia="ko-KR"/>
        </w:rPr>
        <w:t>Vietnam</w:t>
      </w:r>
      <w:r w:rsidRPr="0034532A">
        <w:rPr>
          <w:b/>
          <w:lang w:val="en-NZ" w:eastAsia="ko-KR"/>
        </w:rPr>
        <w:t xml:space="preserve"> – Document APG23-</w:t>
      </w:r>
      <w:r>
        <w:rPr>
          <w:b/>
          <w:lang w:val="en-NZ" w:eastAsia="ko-KR"/>
        </w:rPr>
        <w:t>6</w:t>
      </w:r>
      <w:r w:rsidRPr="0034532A">
        <w:rPr>
          <w:b/>
          <w:lang w:val="en-NZ" w:eastAsia="ko-KR"/>
        </w:rPr>
        <w:t>/INP-</w:t>
      </w:r>
      <w:r>
        <w:rPr>
          <w:b/>
          <w:lang w:val="en-NZ" w:eastAsia="ko-KR"/>
        </w:rPr>
        <w:t>119</w:t>
      </w:r>
    </w:p>
    <w:p w14:paraId="7FDEE133" w14:textId="0F8932CE" w:rsidR="00493530" w:rsidRDefault="00493530" w:rsidP="00493530">
      <w:pPr>
        <w:jc w:val="both"/>
        <w:rPr>
          <w:lang w:eastAsia="zh-CN"/>
        </w:rPr>
      </w:pPr>
      <w:r w:rsidRPr="00493530">
        <w:rPr>
          <w:lang w:eastAsia="zh-CN"/>
        </w:rPr>
        <w:t>CPM23-2 had no time to review or discuss the content of the text for the methods in the Report of the CPM for WRC-23 agenda item 1.8. Therefore, Viet Nam supports Method A.</w:t>
      </w:r>
    </w:p>
    <w:p w14:paraId="03C4E322" w14:textId="77777777" w:rsidR="00493530" w:rsidRPr="0034532A" w:rsidRDefault="00493530" w:rsidP="003020F2">
      <w:pPr>
        <w:jc w:val="both"/>
        <w:rPr>
          <w:b/>
        </w:rPr>
      </w:pPr>
    </w:p>
    <w:p w14:paraId="57213B44" w14:textId="57A53609" w:rsidR="006E695D" w:rsidRDefault="002A0111" w:rsidP="00256326">
      <w:pPr>
        <w:spacing w:after="120"/>
        <w:jc w:val="both"/>
        <w:rPr>
          <w:b/>
          <w:lang w:val="en-NZ"/>
        </w:rPr>
      </w:pPr>
      <w:r w:rsidRPr="00CB6DD5">
        <w:rPr>
          <w:b/>
          <w:lang w:val="en-NZ"/>
        </w:rPr>
        <w:t xml:space="preserve">3.2 </w:t>
      </w:r>
      <w:r w:rsidRPr="00CB6DD5">
        <w:rPr>
          <w:b/>
          <w:lang w:val="en-NZ"/>
        </w:rPr>
        <w:tab/>
      </w:r>
      <w:bookmarkStart w:id="9" w:name="_Hlk87534251"/>
      <w:r w:rsidRPr="00CB6DD5">
        <w:rPr>
          <w:b/>
          <w:lang w:val="en-NZ"/>
        </w:rPr>
        <w:t>S</w:t>
      </w:r>
      <w:r w:rsidRPr="00CB6DD5">
        <w:rPr>
          <w:b/>
          <w:lang w:val="en-NZ" w:eastAsia="ko-KR"/>
        </w:rPr>
        <w:t>ummary of issues raised du</w:t>
      </w:r>
      <w:r w:rsidRPr="00CB6DD5">
        <w:rPr>
          <w:b/>
          <w:lang w:val="en-NZ"/>
        </w:rPr>
        <w:t>ring the meeting</w:t>
      </w:r>
      <w:bookmarkEnd w:id="9"/>
    </w:p>
    <w:p w14:paraId="65B7AD65" w14:textId="77777777" w:rsidR="00C927B7" w:rsidRDefault="00C927B7" w:rsidP="00C927B7">
      <w:pPr>
        <w:spacing w:after="120"/>
        <w:jc w:val="both"/>
        <w:rPr>
          <w:rFonts w:eastAsia="MS Mincho"/>
          <w:lang w:eastAsia="ja-JP"/>
        </w:rPr>
      </w:pPr>
      <w:r>
        <w:rPr>
          <w:rFonts w:eastAsia="MS Mincho" w:hint="eastAsia"/>
          <w:lang w:eastAsia="ja-JP"/>
        </w:rPr>
        <w:t>From the discussion it appears that No PACP and No</w:t>
      </w:r>
      <w:r>
        <w:rPr>
          <w:rFonts w:eastAsia="MS Mincho"/>
          <w:lang w:eastAsia="ja-JP"/>
        </w:rPr>
        <w:t xml:space="preserve"> APT</w:t>
      </w:r>
      <w:r>
        <w:rPr>
          <w:rFonts w:eastAsia="MS Mincho" w:hint="eastAsia"/>
          <w:lang w:eastAsia="ja-JP"/>
        </w:rPr>
        <w:t xml:space="preserve"> Views at this stage.</w:t>
      </w:r>
      <w:r>
        <w:rPr>
          <w:rFonts w:eastAsia="MS Mincho"/>
          <w:lang w:eastAsia="ja-JP"/>
        </w:rPr>
        <w:t xml:space="preserve"> </w:t>
      </w:r>
    </w:p>
    <w:p w14:paraId="33CE72AF" w14:textId="5E21469C" w:rsidR="00250193" w:rsidRDefault="00F513E8" w:rsidP="00F35751">
      <w:pPr>
        <w:spacing w:afterLines="60" w:after="144"/>
        <w:jc w:val="both"/>
        <w:rPr>
          <w:rFonts w:eastAsia="MS Mincho"/>
          <w:lang w:eastAsia="ja-JP"/>
        </w:rPr>
      </w:pPr>
      <w:r>
        <w:rPr>
          <w:rFonts w:eastAsia="MS Mincho"/>
          <w:lang w:eastAsia="ja-JP"/>
        </w:rPr>
        <w:t>Five</w:t>
      </w:r>
      <w:r w:rsidR="00C74FF1">
        <w:rPr>
          <w:rFonts w:eastAsia="MS Mincho"/>
          <w:lang w:eastAsia="ja-JP"/>
        </w:rPr>
        <w:t xml:space="preserve"> </w:t>
      </w:r>
      <w:r w:rsidR="008F3B16">
        <w:rPr>
          <w:rFonts w:eastAsia="MS Mincho"/>
          <w:lang w:eastAsia="ja-JP"/>
        </w:rPr>
        <w:t xml:space="preserve">APT Members supported Method A. </w:t>
      </w:r>
    </w:p>
    <w:p w14:paraId="1B6B8651" w14:textId="4CB70D31" w:rsidR="008F3B16" w:rsidRDefault="008F3B16" w:rsidP="003F58A9">
      <w:pPr>
        <w:spacing w:afterLines="60" w:after="144"/>
        <w:jc w:val="both"/>
        <w:rPr>
          <w:rFonts w:eastAsia="MS Mincho"/>
          <w:lang w:eastAsia="ja-JP"/>
        </w:rPr>
      </w:pPr>
      <w:r>
        <w:rPr>
          <w:rFonts w:eastAsia="MS Mincho"/>
          <w:lang w:eastAsia="ja-JP"/>
        </w:rPr>
        <w:t>Three APT Members supported Method B</w:t>
      </w:r>
      <w:r w:rsidR="00250193">
        <w:rPr>
          <w:rFonts w:eastAsia="MS Mincho"/>
          <w:lang w:eastAsia="ja-JP"/>
        </w:rPr>
        <w:t>.</w:t>
      </w:r>
      <w:r w:rsidR="003F58A9">
        <w:rPr>
          <w:rFonts w:eastAsia="MS Mincho"/>
          <w:lang w:eastAsia="ja-JP"/>
        </w:rPr>
        <w:t xml:space="preserve"> One of them did not mention which option </w:t>
      </w:r>
      <w:r w:rsidR="00931829">
        <w:rPr>
          <w:rFonts w:eastAsia="MS Mincho"/>
          <w:lang w:eastAsia="ja-JP"/>
        </w:rPr>
        <w:t xml:space="preserve">of Method B </w:t>
      </w:r>
      <w:r w:rsidR="003F58A9">
        <w:rPr>
          <w:rFonts w:eastAsia="MS Mincho"/>
          <w:lang w:eastAsia="ja-JP"/>
        </w:rPr>
        <w:t>they suppor</w:t>
      </w:r>
      <w:r w:rsidR="00931829">
        <w:rPr>
          <w:rFonts w:eastAsia="MS Mincho"/>
          <w:lang w:eastAsia="ja-JP"/>
        </w:rPr>
        <w:t>t</w:t>
      </w:r>
      <w:r w:rsidR="003F58A9">
        <w:rPr>
          <w:rFonts w:eastAsia="MS Mincho"/>
          <w:lang w:eastAsia="ja-JP"/>
        </w:rPr>
        <w:t>.</w:t>
      </w:r>
      <w:r w:rsidR="00250193">
        <w:rPr>
          <w:rFonts w:eastAsia="MS Mincho"/>
          <w:lang w:eastAsia="ja-JP"/>
        </w:rPr>
        <w:t xml:space="preserve"> One of the</w:t>
      </w:r>
      <w:r w:rsidR="003F58A9">
        <w:rPr>
          <w:rFonts w:eastAsia="MS Mincho"/>
          <w:lang w:eastAsia="ja-JP"/>
        </w:rPr>
        <w:t>m supported Method B2. One of them supported Method B3</w:t>
      </w:r>
      <w:r>
        <w:rPr>
          <w:rFonts w:eastAsia="MS Mincho"/>
          <w:lang w:eastAsia="ja-JP"/>
        </w:rPr>
        <w:t xml:space="preserve">, taking into account that the disclaimer on the top of CPM-23 Report clearly indicated that no agreement has been reached in the ITU-R CPM23-2 meeting on any of the options of Method B. </w:t>
      </w:r>
    </w:p>
    <w:p w14:paraId="3F702595" w14:textId="51DE7403" w:rsidR="00EF17A5" w:rsidRDefault="008F3B16" w:rsidP="00F35751">
      <w:pPr>
        <w:spacing w:afterLines="60" w:after="144"/>
        <w:jc w:val="both"/>
        <w:rPr>
          <w:rFonts w:eastAsia="MS Mincho"/>
          <w:lang w:eastAsia="ja-JP"/>
        </w:rPr>
      </w:pPr>
      <w:r>
        <w:rPr>
          <w:rFonts w:eastAsia="MS Mincho"/>
          <w:lang w:eastAsia="ja-JP"/>
        </w:rPr>
        <w:t xml:space="preserve">Moreover, members supporting Method B in their contribution referred to method to protect the incumbent service, however, it is to be emphasized that in this agenda item the problem of protection of incumbent service is not an issue. The difficulties </w:t>
      </w:r>
      <w:r w:rsidR="00EF17A5">
        <w:rPr>
          <w:rFonts w:eastAsia="MS Mincho"/>
          <w:lang w:eastAsia="ja-JP"/>
        </w:rPr>
        <w:t>ascribe</w:t>
      </w:r>
      <w:r>
        <w:rPr>
          <w:rFonts w:eastAsia="MS Mincho"/>
          <w:lang w:eastAsia="ja-JP"/>
        </w:rPr>
        <w:t xml:space="preserve"> to the lack of agreement on the </w:t>
      </w:r>
      <w:r w:rsidR="00EF17A5">
        <w:rPr>
          <w:rFonts w:eastAsia="MS Mincho"/>
          <w:lang w:eastAsia="ja-JP"/>
        </w:rPr>
        <w:t xml:space="preserve">responsibility, </w:t>
      </w:r>
      <w:r>
        <w:rPr>
          <w:rFonts w:eastAsia="MS Mincho"/>
          <w:lang w:eastAsia="ja-JP"/>
        </w:rPr>
        <w:t xml:space="preserve">the availability of </w:t>
      </w:r>
      <w:r w:rsidR="0012180F">
        <w:rPr>
          <w:rFonts w:eastAsia="MS Mincho"/>
          <w:lang w:eastAsia="ja-JP"/>
        </w:rPr>
        <w:t xml:space="preserve">complete set of </w:t>
      </w:r>
      <w:r>
        <w:rPr>
          <w:rFonts w:eastAsia="MS Mincho"/>
          <w:lang w:eastAsia="ja-JP"/>
        </w:rPr>
        <w:t xml:space="preserve">SARPS </w:t>
      </w:r>
      <w:r w:rsidR="00EF17A5">
        <w:rPr>
          <w:rFonts w:eastAsia="MS Mincho"/>
          <w:lang w:eastAsia="ja-JP"/>
        </w:rPr>
        <w:t>until</w:t>
      </w:r>
      <w:r>
        <w:rPr>
          <w:rFonts w:eastAsia="MS Mincho"/>
          <w:lang w:eastAsia="ja-JP"/>
        </w:rPr>
        <w:t xml:space="preserve"> 2026</w:t>
      </w:r>
      <w:r w:rsidR="00EF17A5">
        <w:rPr>
          <w:rFonts w:eastAsia="MS Mincho"/>
          <w:lang w:eastAsia="ja-JP"/>
        </w:rPr>
        <w:t>, and more importantly the total divergent views on application of RR 4.10</w:t>
      </w:r>
      <w:r w:rsidR="0012180F">
        <w:rPr>
          <w:rFonts w:eastAsia="MS Mincho"/>
          <w:lang w:eastAsia="ja-JP"/>
        </w:rPr>
        <w:t xml:space="preserve">. </w:t>
      </w:r>
    </w:p>
    <w:p w14:paraId="4AC2A34F" w14:textId="726BA232" w:rsidR="00036144" w:rsidRDefault="002A0111" w:rsidP="002A0111">
      <w:pPr>
        <w:spacing w:after="120"/>
        <w:jc w:val="both"/>
        <w:rPr>
          <w:b/>
          <w:lang w:val="en-NZ" w:eastAsia="ko-KR"/>
        </w:rPr>
      </w:pPr>
      <w:r w:rsidRPr="0034532A">
        <w:rPr>
          <w:b/>
          <w:lang w:val="en-NZ" w:eastAsia="ko-KR"/>
        </w:rPr>
        <w:t xml:space="preserve">4. </w:t>
      </w:r>
      <w:r w:rsidRPr="0034532A">
        <w:rPr>
          <w:b/>
          <w:lang w:val="en-NZ" w:eastAsia="ko-KR"/>
        </w:rPr>
        <w:tab/>
        <w:t>APT View(s)</w:t>
      </w:r>
    </w:p>
    <w:p w14:paraId="1B8FD960" w14:textId="1E9B36AD" w:rsidR="001818D2" w:rsidRDefault="00C927B7" w:rsidP="00C927B7">
      <w:pPr>
        <w:jc w:val="both"/>
        <w:rPr>
          <w:rFonts w:eastAsia="MS Mincho"/>
          <w:lang w:eastAsia="ja-JP"/>
        </w:rPr>
      </w:pPr>
      <w:r>
        <w:rPr>
          <w:rFonts w:eastAsia="MS Mincho"/>
          <w:lang w:eastAsia="ja-JP"/>
        </w:rPr>
        <w:t>No</w:t>
      </w:r>
      <w:r w:rsidR="005E0438">
        <w:rPr>
          <w:rFonts w:eastAsia="MS Mincho"/>
          <w:lang w:eastAsia="ja-JP"/>
        </w:rPr>
        <w:t xml:space="preserve"> APT View on this agenda item.</w:t>
      </w:r>
    </w:p>
    <w:p w14:paraId="1AC032CA" w14:textId="07C80390" w:rsidR="00617454" w:rsidRPr="00493530" w:rsidRDefault="00493530" w:rsidP="006D67FF">
      <w:pPr>
        <w:spacing w:before="120"/>
        <w:rPr>
          <w:b/>
          <w:lang w:val="en-NZ" w:eastAsia="ko-KR"/>
        </w:rPr>
      </w:pPr>
      <w:r w:rsidRPr="00493530">
        <w:rPr>
          <w:rFonts w:hint="eastAsia"/>
          <w:b/>
          <w:lang w:val="en-NZ" w:eastAsia="ko-KR"/>
        </w:rPr>
        <w:t xml:space="preserve">5. </w:t>
      </w:r>
      <w:r>
        <w:rPr>
          <w:b/>
          <w:lang w:val="en-NZ" w:eastAsia="ko-KR"/>
        </w:rPr>
        <w:tab/>
      </w:r>
      <w:r w:rsidRPr="00493530">
        <w:rPr>
          <w:rFonts w:hint="eastAsia"/>
          <w:b/>
          <w:lang w:val="en-NZ" w:eastAsia="ko-KR"/>
        </w:rPr>
        <w:t>Preliminary APT Common Proposal(s)</w:t>
      </w:r>
    </w:p>
    <w:p w14:paraId="157CF580" w14:textId="1917A2FE" w:rsidR="00617454" w:rsidRDefault="00C927B7" w:rsidP="00617454">
      <w:pPr>
        <w:spacing w:after="120"/>
        <w:jc w:val="both"/>
        <w:rPr>
          <w:rFonts w:eastAsia="MS Mincho"/>
          <w:lang w:eastAsia="ja-JP"/>
        </w:rPr>
      </w:pPr>
      <w:r>
        <w:rPr>
          <w:rFonts w:eastAsia="MS Mincho"/>
          <w:lang w:eastAsia="ja-JP"/>
        </w:rPr>
        <w:t>None</w:t>
      </w:r>
      <w:r w:rsidR="00617454">
        <w:rPr>
          <w:rFonts w:eastAsia="MS Mincho"/>
          <w:lang w:eastAsia="ja-JP"/>
        </w:rPr>
        <w:t xml:space="preserve"> </w:t>
      </w:r>
    </w:p>
    <w:p w14:paraId="64922B9C" w14:textId="77777777" w:rsidR="00910DD1" w:rsidRPr="0034532A" w:rsidRDefault="00910DD1" w:rsidP="008A1473">
      <w:pPr>
        <w:spacing w:after="120"/>
        <w:jc w:val="both"/>
      </w:pPr>
    </w:p>
    <w:p w14:paraId="70A9AE9F" w14:textId="3C6466EB" w:rsidR="001818D2" w:rsidRDefault="001818D2" w:rsidP="001818D2">
      <w:pPr>
        <w:spacing w:after="120"/>
        <w:jc w:val="both"/>
        <w:rPr>
          <w:b/>
          <w:lang w:val="en-NZ" w:eastAsia="ko-KR"/>
        </w:rPr>
      </w:pPr>
      <w:r>
        <w:rPr>
          <w:b/>
          <w:lang w:val="en-NZ" w:eastAsia="ko-KR"/>
        </w:rPr>
        <w:lastRenderedPageBreak/>
        <w:t>6</w:t>
      </w:r>
      <w:r w:rsidRPr="00441526">
        <w:rPr>
          <w:b/>
          <w:lang w:val="en-NZ" w:eastAsia="ko-KR"/>
        </w:rPr>
        <w:t xml:space="preserve">. </w:t>
      </w:r>
      <w:r w:rsidRPr="00441526">
        <w:rPr>
          <w:b/>
          <w:lang w:val="en-NZ" w:eastAsia="ko-KR"/>
        </w:rPr>
        <w:tab/>
        <w:t>Issues for Consideration at APG</w:t>
      </w:r>
      <w:r>
        <w:rPr>
          <w:b/>
          <w:lang w:val="en-NZ" w:eastAsia="ko-KR"/>
        </w:rPr>
        <w:t xml:space="preserve"> Coordination</w:t>
      </w:r>
      <w:r w:rsidRPr="00441526">
        <w:rPr>
          <w:b/>
          <w:lang w:val="en-NZ" w:eastAsia="ko-KR"/>
        </w:rPr>
        <w:t xml:space="preserve"> Meeting</w:t>
      </w:r>
      <w:r>
        <w:rPr>
          <w:b/>
          <w:lang w:val="en-NZ" w:eastAsia="ko-KR"/>
        </w:rPr>
        <w:t xml:space="preserve"> at WRC-23 (if any)</w:t>
      </w:r>
    </w:p>
    <w:p w14:paraId="6BF38D09" w14:textId="5A2392AB" w:rsidR="00BF5BF1" w:rsidRPr="00270B23" w:rsidRDefault="00612C87" w:rsidP="001818D2">
      <w:pPr>
        <w:spacing w:after="120"/>
        <w:jc w:val="both"/>
        <w:rPr>
          <w:rFonts w:eastAsia="MS Mincho"/>
          <w:bCs/>
          <w:lang w:val="en-NZ" w:eastAsia="ja-JP"/>
        </w:rPr>
      </w:pPr>
      <w:r>
        <w:rPr>
          <w:rFonts w:eastAsia="MS Mincho"/>
          <w:bCs/>
          <w:lang w:val="en-NZ" w:eastAsia="ja-JP"/>
        </w:rPr>
        <w:t>APT M</w:t>
      </w:r>
      <w:r w:rsidRPr="00270B23">
        <w:rPr>
          <w:rFonts w:eastAsia="MS Mincho"/>
          <w:bCs/>
          <w:lang w:val="en-NZ" w:eastAsia="ja-JP"/>
        </w:rPr>
        <w:t>ember</w:t>
      </w:r>
      <w:r>
        <w:rPr>
          <w:rFonts w:eastAsia="MS Mincho"/>
          <w:bCs/>
          <w:lang w:val="en-NZ" w:eastAsia="ja-JP"/>
        </w:rPr>
        <w:t>s</w:t>
      </w:r>
      <w:r w:rsidRPr="00270B23">
        <w:rPr>
          <w:rFonts w:eastAsia="MS Mincho"/>
          <w:bCs/>
          <w:lang w:val="en-NZ" w:eastAsia="ja-JP"/>
        </w:rPr>
        <w:t xml:space="preserve"> </w:t>
      </w:r>
      <w:r>
        <w:rPr>
          <w:rFonts w:eastAsia="MS Mincho"/>
          <w:bCs/>
          <w:lang w:val="en-NZ" w:eastAsia="ja-JP"/>
        </w:rPr>
        <w:t>are encouraged</w:t>
      </w:r>
      <w:r w:rsidR="00BF5BF1" w:rsidRPr="00270B23">
        <w:rPr>
          <w:rFonts w:eastAsia="MS Mincho"/>
          <w:bCs/>
          <w:lang w:val="en-NZ" w:eastAsia="ja-JP"/>
        </w:rPr>
        <w:t xml:space="preserve"> </w:t>
      </w:r>
      <w:r>
        <w:rPr>
          <w:rFonts w:eastAsia="MS Mincho"/>
          <w:bCs/>
          <w:lang w:val="en-NZ" w:eastAsia="ja-JP"/>
        </w:rPr>
        <w:t xml:space="preserve">to </w:t>
      </w:r>
      <w:r w:rsidR="00BF5BF1" w:rsidRPr="00270B23">
        <w:rPr>
          <w:rFonts w:eastAsia="MS Mincho"/>
          <w:bCs/>
          <w:lang w:val="en-NZ" w:eastAsia="ja-JP"/>
        </w:rPr>
        <w:t xml:space="preserve">make </w:t>
      </w:r>
      <w:r>
        <w:rPr>
          <w:rFonts w:eastAsia="MS Mincho"/>
          <w:bCs/>
          <w:lang w:val="en-NZ" w:eastAsia="ja-JP"/>
        </w:rPr>
        <w:t xml:space="preserve">the </w:t>
      </w:r>
      <w:r w:rsidR="00BF5BF1" w:rsidRPr="00270B23">
        <w:rPr>
          <w:rFonts w:eastAsia="MS Mincho"/>
          <w:bCs/>
          <w:lang w:val="en-NZ" w:eastAsia="ja-JP"/>
        </w:rPr>
        <w:t xml:space="preserve">upmost effort with the view to reduce the divergent opinion or to converge to a solution to </w:t>
      </w:r>
      <w:r w:rsidR="00BF5BF1">
        <w:rPr>
          <w:rFonts w:eastAsia="MS Mincho"/>
          <w:bCs/>
          <w:lang w:val="en-NZ" w:eastAsia="ja-JP"/>
        </w:rPr>
        <w:t>facilitate</w:t>
      </w:r>
      <w:r w:rsidR="00BF5BF1" w:rsidRPr="00270B23">
        <w:rPr>
          <w:rFonts w:eastAsia="MS Mincho"/>
          <w:bCs/>
          <w:lang w:val="en-NZ" w:eastAsia="ja-JP"/>
        </w:rPr>
        <w:t xml:space="preserve"> WRC-23 to decide on the matter.</w:t>
      </w:r>
    </w:p>
    <w:p w14:paraId="728A5421" w14:textId="77777777" w:rsidR="001818D2" w:rsidRDefault="001818D2" w:rsidP="001818D2">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3FCA6389" w14:textId="7E5F523A" w:rsidR="001818D2" w:rsidRDefault="001818D2" w:rsidP="001818D2">
      <w:pPr>
        <w:ind w:firstLine="720"/>
        <w:jc w:val="both"/>
        <w:rPr>
          <w:lang w:val="en-NZ"/>
        </w:rPr>
      </w:pPr>
      <w:r w:rsidRPr="006F518F">
        <w:rPr>
          <w:lang w:val="en-NZ"/>
        </w:rPr>
        <w:t>APG</w:t>
      </w:r>
      <w:r>
        <w:rPr>
          <w:lang w:val="en-NZ"/>
        </w:rPr>
        <w:t>23-6)</w:t>
      </w:r>
    </w:p>
    <w:p w14:paraId="6E5B584C" w14:textId="77777777" w:rsidR="001818D2" w:rsidRPr="00441526" w:rsidRDefault="001818D2" w:rsidP="001818D2">
      <w:pPr>
        <w:jc w:val="both"/>
        <w:rPr>
          <w:lang w:val="en-NZ"/>
        </w:rPr>
      </w:pPr>
    </w:p>
    <w:p w14:paraId="4495B536" w14:textId="71A550E2" w:rsidR="001818D2" w:rsidRPr="00441526" w:rsidRDefault="001818D2" w:rsidP="009C5E09">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475FEFAC" w14:textId="455FB564" w:rsidR="00D32FE6" w:rsidRDefault="001818D2" w:rsidP="001818D2">
      <w:pPr>
        <w:spacing w:after="120"/>
        <w:jc w:val="both"/>
        <w:rPr>
          <w:b/>
          <w:lang w:val="en-NZ" w:eastAsia="ko-KR"/>
        </w:rPr>
      </w:pPr>
      <w:r>
        <w:rPr>
          <w:b/>
          <w:lang w:val="en-NZ" w:eastAsia="ko-KR"/>
        </w:rPr>
        <w:t>7</w:t>
      </w:r>
      <w:r w:rsidRPr="00441526">
        <w:rPr>
          <w:b/>
          <w:lang w:val="en-NZ" w:eastAsia="ko-KR"/>
        </w:rPr>
        <w:t>.1.</w:t>
      </w:r>
      <w:r w:rsidR="003F58A9">
        <w:rPr>
          <w:b/>
          <w:lang w:val="en-NZ" w:eastAsia="ko-KR"/>
        </w:rPr>
        <w:t>1</w:t>
      </w:r>
      <w:r w:rsidRPr="00441526">
        <w:rPr>
          <w:b/>
          <w:lang w:val="en-NZ" w:eastAsia="ko-KR"/>
        </w:rPr>
        <w:t xml:space="preserve"> </w:t>
      </w:r>
      <w:r w:rsidRPr="00441526">
        <w:rPr>
          <w:b/>
          <w:lang w:val="en-NZ" w:eastAsia="ko-KR"/>
        </w:rPr>
        <w:tab/>
      </w:r>
      <w:r w:rsidR="00D32FE6">
        <w:rPr>
          <w:b/>
          <w:lang w:val="en-NZ" w:eastAsia="ko-KR"/>
        </w:rPr>
        <w:t xml:space="preserve">ASMG - </w:t>
      </w:r>
      <w:r w:rsidR="00D32FE6" w:rsidRPr="00441526">
        <w:rPr>
          <w:b/>
          <w:lang w:val="en-NZ" w:eastAsia="ko-KR"/>
        </w:rPr>
        <w:t>Document APG</w:t>
      </w:r>
      <w:r w:rsidR="00D32FE6">
        <w:rPr>
          <w:b/>
          <w:lang w:val="en-NZ" w:eastAsia="ko-KR"/>
        </w:rPr>
        <w:t>23</w:t>
      </w:r>
      <w:r w:rsidR="00D32FE6" w:rsidRPr="00441526">
        <w:rPr>
          <w:b/>
          <w:lang w:val="en-NZ" w:eastAsia="ko-KR"/>
        </w:rPr>
        <w:t>-</w:t>
      </w:r>
      <w:r w:rsidR="00D32FE6">
        <w:rPr>
          <w:b/>
          <w:lang w:val="en-NZ" w:eastAsia="ko-KR"/>
        </w:rPr>
        <w:t>4</w:t>
      </w:r>
      <w:r w:rsidR="00D32FE6" w:rsidRPr="00441526">
        <w:rPr>
          <w:b/>
          <w:lang w:val="en-NZ" w:eastAsia="ko-KR"/>
        </w:rPr>
        <w:t>/INF-</w:t>
      </w:r>
      <w:r w:rsidR="00D32FE6">
        <w:rPr>
          <w:b/>
          <w:lang w:val="en-NZ" w:eastAsia="ko-KR"/>
        </w:rPr>
        <w:t>21</w:t>
      </w:r>
    </w:p>
    <w:p w14:paraId="642DC668" w14:textId="77777777" w:rsidR="00D32FE6" w:rsidRPr="0034532A" w:rsidRDefault="00D32FE6" w:rsidP="00D32FE6">
      <w:pPr>
        <w:jc w:val="both"/>
        <w:rPr>
          <w:rFonts w:eastAsia="MS Mincho"/>
          <w:lang w:val="en-NZ" w:eastAsia="ja-JP"/>
        </w:rPr>
      </w:pPr>
      <w:r w:rsidRPr="0034532A">
        <w:rPr>
          <w:rFonts w:eastAsia="MS Mincho"/>
          <w:lang w:val="en-NZ" w:eastAsia="ja-JP"/>
        </w:rPr>
        <w:t>UAS CNPC links should operate in accordance with the protection and safety of life standards</w:t>
      </w:r>
      <w:r w:rsidRPr="0034532A">
        <w:rPr>
          <w:rFonts w:eastAsia="MS Mincho" w:hint="eastAsia"/>
          <w:lang w:val="en-NZ" w:eastAsia="ja-JP"/>
        </w:rPr>
        <w:t xml:space="preserve"> </w:t>
      </w:r>
      <w:r w:rsidRPr="0034532A">
        <w:rPr>
          <w:rFonts w:eastAsia="MS Mincho"/>
          <w:lang w:val="en-NZ" w:eastAsia="ja-JP"/>
        </w:rPr>
        <w:t>of the International Civil Aviation Organization and provided that: UAS CNPC links shall not</w:t>
      </w:r>
      <w:r w:rsidRPr="0034532A">
        <w:rPr>
          <w:rFonts w:eastAsia="MS Mincho" w:hint="eastAsia"/>
          <w:lang w:val="en-NZ" w:eastAsia="ja-JP"/>
        </w:rPr>
        <w:t xml:space="preserve"> </w:t>
      </w:r>
      <w:r w:rsidRPr="0034532A">
        <w:rPr>
          <w:rFonts w:eastAsia="MS Mincho"/>
          <w:lang w:val="en-NZ" w:eastAsia="ja-JP"/>
        </w:rPr>
        <w:t>operate if the conditions for safe operation issued by the International Civil Aviation</w:t>
      </w:r>
      <w:r w:rsidRPr="0034532A">
        <w:rPr>
          <w:rFonts w:eastAsia="MS Mincho" w:hint="eastAsia"/>
          <w:lang w:val="en-NZ" w:eastAsia="ja-JP"/>
        </w:rPr>
        <w:t xml:space="preserve"> </w:t>
      </w:r>
      <w:r w:rsidRPr="0034532A">
        <w:rPr>
          <w:rFonts w:eastAsia="MS Mincho"/>
          <w:lang w:val="en-NZ" w:eastAsia="ja-JP"/>
        </w:rPr>
        <w:t xml:space="preserve">Organization cannot be met; Provision </w:t>
      </w:r>
      <w:r w:rsidRPr="0034532A">
        <w:rPr>
          <w:rFonts w:eastAsia="MS Mincho"/>
          <w:b/>
          <w:bCs/>
          <w:lang w:val="en-NZ" w:eastAsia="ja-JP"/>
        </w:rPr>
        <w:t>No. 4.10</w:t>
      </w:r>
      <w:r w:rsidRPr="0034532A">
        <w:rPr>
          <w:rFonts w:eastAsia="MS Mincho"/>
          <w:lang w:val="en-NZ" w:eastAsia="ja-JP"/>
        </w:rPr>
        <w:t xml:space="preserve"> doesn’t apply to the use of UAS CNPC links by FSS networks; No additional restrictions are imposed on ground systems; Not affecting existing</w:t>
      </w:r>
      <w:r w:rsidRPr="0034532A">
        <w:rPr>
          <w:rFonts w:eastAsia="MS Mincho" w:hint="eastAsia"/>
          <w:lang w:val="en-NZ" w:eastAsia="ja-JP"/>
        </w:rPr>
        <w:t xml:space="preserve"> </w:t>
      </w:r>
      <w:r w:rsidRPr="0034532A">
        <w:rPr>
          <w:rFonts w:eastAsia="MS Mincho"/>
          <w:lang w:val="en-NZ" w:eastAsia="ja-JP"/>
        </w:rPr>
        <w:t>coordination agreements between administrations that were concluded during FSS satellite</w:t>
      </w:r>
      <w:r w:rsidRPr="0034532A">
        <w:rPr>
          <w:rFonts w:eastAsia="MS Mincho" w:hint="eastAsia"/>
          <w:lang w:val="en-NZ" w:eastAsia="ja-JP"/>
        </w:rPr>
        <w:t xml:space="preserve"> </w:t>
      </w:r>
      <w:r w:rsidRPr="0034532A">
        <w:rPr>
          <w:rFonts w:eastAsia="MS Mincho"/>
          <w:lang w:val="en-NZ" w:eastAsia="ja-JP"/>
        </w:rPr>
        <w:t>coordination process or future coordination process in the bands concerned by requesting</w:t>
      </w:r>
      <w:r w:rsidRPr="0034532A">
        <w:rPr>
          <w:rFonts w:eastAsia="MS Mincho" w:hint="eastAsia"/>
          <w:lang w:val="en-NZ" w:eastAsia="ja-JP"/>
        </w:rPr>
        <w:t xml:space="preserve"> </w:t>
      </w:r>
      <w:r w:rsidRPr="0034532A">
        <w:rPr>
          <w:rFonts w:eastAsia="MS Mincho"/>
          <w:lang w:val="en-NZ" w:eastAsia="ja-JP"/>
        </w:rPr>
        <w:t xml:space="preserve">additional protection than agreed in the current coordination procedures. </w:t>
      </w:r>
    </w:p>
    <w:p w14:paraId="4B216E67" w14:textId="77777777" w:rsidR="00D32FE6" w:rsidRPr="0034532A" w:rsidRDefault="00D32FE6" w:rsidP="00D32FE6">
      <w:pPr>
        <w:jc w:val="both"/>
        <w:rPr>
          <w:rFonts w:eastAsia="MS Mincho"/>
          <w:lang w:val="en-NZ" w:eastAsia="ja-JP"/>
        </w:rPr>
      </w:pPr>
      <w:r w:rsidRPr="0034532A">
        <w:rPr>
          <w:rFonts w:eastAsia="MS Mincho"/>
          <w:lang w:val="en-NZ" w:eastAsia="ja-JP"/>
        </w:rPr>
        <w:t>In the absence of a satisfactory solution for the operation of the UA earth stations, support the deletion of RR</w:t>
      </w:r>
      <w:r w:rsidRPr="0034532A">
        <w:rPr>
          <w:rFonts w:eastAsia="MS Mincho" w:hint="eastAsia"/>
          <w:lang w:val="en-NZ" w:eastAsia="ja-JP"/>
        </w:rPr>
        <w:t xml:space="preserve"> </w:t>
      </w:r>
      <w:r w:rsidRPr="0034532A">
        <w:rPr>
          <w:rFonts w:eastAsia="MS Mincho"/>
          <w:lang w:val="en-NZ" w:eastAsia="ja-JP"/>
        </w:rPr>
        <w:t xml:space="preserve">Footnote </w:t>
      </w:r>
      <w:r w:rsidRPr="0034532A">
        <w:rPr>
          <w:rFonts w:eastAsia="MS Mincho"/>
          <w:b/>
          <w:bCs/>
          <w:lang w:val="en-NZ" w:eastAsia="ja-JP"/>
        </w:rPr>
        <w:t>5.484B</w:t>
      </w:r>
      <w:r w:rsidRPr="0034532A">
        <w:rPr>
          <w:rFonts w:eastAsia="MS Mincho"/>
          <w:lang w:val="en-NZ" w:eastAsia="ja-JP"/>
        </w:rPr>
        <w:t xml:space="preserve">, Resolution </w:t>
      </w:r>
      <w:r w:rsidRPr="0034532A">
        <w:rPr>
          <w:rFonts w:eastAsia="MS Mincho"/>
          <w:b/>
          <w:bCs/>
          <w:lang w:val="en-NZ" w:eastAsia="ja-JP"/>
        </w:rPr>
        <w:t>155 (Rev.WRC-19)</w:t>
      </w:r>
      <w:r w:rsidRPr="0034532A">
        <w:rPr>
          <w:rFonts w:eastAsia="MS Mincho"/>
          <w:lang w:val="en-NZ" w:eastAsia="ja-JP"/>
        </w:rPr>
        <w:t xml:space="preserve"> as well as Resolution </w:t>
      </w:r>
      <w:r w:rsidRPr="0034532A">
        <w:rPr>
          <w:rFonts w:eastAsia="MS Mincho"/>
          <w:b/>
          <w:bCs/>
          <w:lang w:val="en-NZ" w:eastAsia="ja-JP"/>
        </w:rPr>
        <w:t>171 (WRC-19)</w:t>
      </w:r>
      <w:r w:rsidRPr="0034532A">
        <w:rPr>
          <w:rFonts w:eastAsia="MS Mincho"/>
          <w:lang w:val="en-NZ" w:eastAsia="ja-JP"/>
        </w:rPr>
        <w:t>.</w:t>
      </w:r>
    </w:p>
    <w:p w14:paraId="548D7D70" w14:textId="1525171A" w:rsidR="00D32FE6" w:rsidRPr="0034532A" w:rsidRDefault="00D32FE6" w:rsidP="00D32FE6">
      <w:pPr>
        <w:spacing w:before="120"/>
        <w:jc w:val="both"/>
        <w:rPr>
          <w:b/>
          <w:lang w:val="en-NZ" w:eastAsia="ko-KR"/>
        </w:rPr>
      </w:pPr>
      <w:r w:rsidRPr="0034532A">
        <w:rPr>
          <w:b/>
          <w:lang w:val="en-NZ" w:eastAsia="ko-KR"/>
        </w:rPr>
        <w:t xml:space="preserve">7.1.2 </w:t>
      </w:r>
      <w:r w:rsidRPr="0034532A">
        <w:rPr>
          <w:b/>
          <w:lang w:val="en-NZ" w:eastAsia="ko-KR"/>
        </w:rPr>
        <w:tab/>
        <w:t xml:space="preserve">ATU </w:t>
      </w:r>
      <w:r w:rsidRPr="0034532A">
        <w:t xml:space="preserve">- </w:t>
      </w:r>
      <w:r w:rsidRPr="0034532A">
        <w:rPr>
          <w:b/>
          <w:lang w:val="en-NZ" w:eastAsia="ko-KR"/>
        </w:rPr>
        <w:t>Document APG23-</w:t>
      </w:r>
      <w:r>
        <w:rPr>
          <w:b/>
          <w:lang w:val="en-NZ" w:eastAsia="ko-KR"/>
        </w:rPr>
        <w:t>6</w:t>
      </w:r>
      <w:r w:rsidRPr="0034532A">
        <w:rPr>
          <w:b/>
          <w:lang w:val="en-NZ" w:eastAsia="ko-KR"/>
        </w:rPr>
        <w:t>/INF-</w:t>
      </w:r>
      <w:r>
        <w:rPr>
          <w:b/>
          <w:lang w:val="en-NZ" w:eastAsia="ko-KR"/>
        </w:rPr>
        <w:t>55</w:t>
      </w:r>
    </w:p>
    <w:p w14:paraId="5F96A75C" w14:textId="77777777" w:rsidR="00D32FE6" w:rsidRPr="00D32FE6" w:rsidRDefault="00D32FE6" w:rsidP="00D32FE6">
      <w:pPr>
        <w:jc w:val="both"/>
      </w:pPr>
      <w:r w:rsidRPr="00D32FE6">
        <w:rPr>
          <w:bCs/>
          <w:lang w:val="en-GB"/>
        </w:rPr>
        <w:t xml:space="preserve">Support, </w:t>
      </w:r>
      <w:r w:rsidRPr="00D32FE6">
        <w:rPr>
          <w:bCs/>
        </w:rPr>
        <w:t xml:space="preserve">Method A </w:t>
      </w:r>
      <w:r w:rsidRPr="00D32FE6">
        <w:t>– which</w:t>
      </w:r>
      <w:r w:rsidRPr="00D32FE6">
        <w:rPr>
          <w:b/>
          <w:bCs/>
        </w:rPr>
        <w:t xml:space="preserve"> </w:t>
      </w:r>
      <w:r w:rsidRPr="00D32FE6">
        <w:t>proposes to suppress RR No. 5.484B together with Resolution 155 (Rev.WRC-19) as well as Resolution 171 (WRC-19), since so far,</w:t>
      </w:r>
      <w:r w:rsidRPr="00D32FE6">
        <w:rPr>
          <w:lang w:eastAsia="ja-JP"/>
        </w:rPr>
        <w:t xml:space="preserve"> no satisfactory solution identified for the operation of UA earth stations.</w:t>
      </w:r>
    </w:p>
    <w:p w14:paraId="3E55A39F" w14:textId="084E4E63" w:rsidR="001818D2" w:rsidRPr="00441526" w:rsidRDefault="00D32FE6" w:rsidP="00D32FE6">
      <w:pPr>
        <w:spacing w:before="120"/>
        <w:jc w:val="both"/>
        <w:rPr>
          <w:b/>
          <w:lang w:val="en-NZ" w:eastAsia="ko-KR"/>
        </w:rPr>
      </w:pPr>
      <w:r>
        <w:rPr>
          <w:b/>
          <w:lang w:val="en-NZ" w:eastAsia="ko-KR"/>
        </w:rPr>
        <w:t>7.1.3</w:t>
      </w:r>
      <w:r>
        <w:rPr>
          <w:b/>
          <w:lang w:val="en-NZ" w:eastAsia="ko-KR"/>
        </w:rPr>
        <w:tab/>
      </w:r>
      <w:r w:rsidR="001818D2" w:rsidRPr="00441526">
        <w:rPr>
          <w:b/>
          <w:lang w:val="en-NZ" w:eastAsia="ko-KR"/>
        </w:rPr>
        <w:t xml:space="preserve">CEPT </w:t>
      </w:r>
      <w:r w:rsidR="001818D2" w:rsidRPr="00441526">
        <w:t xml:space="preserve">- </w:t>
      </w:r>
      <w:r w:rsidR="001818D2" w:rsidRPr="00441526">
        <w:rPr>
          <w:b/>
          <w:lang w:val="en-NZ" w:eastAsia="ko-KR"/>
        </w:rPr>
        <w:t>Document APG</w:t>
      </w:r>
      <w:r w:rsidR="001818D2">
        <w:rPr>
          <w:b/>
          <w:lang w:val="en-NZ" w:eastAsia="ko-KR"/>
        </w:rPr>
        <w:t>23</w:t>
      </w:r>
      <w:r w:rsidR="001818D2" w:rsidRPr="00441526">
        <w:rPr>
          <w:b/>
          <w:lang w:val="en-NZ" w:eastAsia="ko-KR"/>
        </w:rPr>
        <w:t>-</w:t>
      </w:r>
      <w:r w:rsidR="001818D2">
        <w:rPr>
          <w:b/>
          <w:lang w:val="en-NZ" w:eastAsia="ko-KR"/>
        </w:rPr>
        <w:t>6</w:t>
      </w:r>
      <w:r w:rsidR="001818D2" w:rsidRPr="00441526">
        <w:rPr>
          <w:b/>
          <w:lang w:val="en-NZ" w:eastAsia="ko-KR"/>
        </w:rPr>
        <w:t>/INF-</w:t>
      </w:r>
      <w:r w:rsidR="009C5E09">
        <w:rPr>
          <w:b/>
          <w:lang w:val="en-NZ" w:eastAsia="ko-KR"/>
        </w:rPr>
        <w:t>46</w:t>
      </w:r>
    </w:p>
    <w:p w14:paraId="71B0ADE5" w14:textId="77777777" w:rsidR="009C5E09" w:rsidRDefault="009C5E09" w:rsidP="009C5E09">
      <w:pPr>
        <w:pStyle w:val="ListParagraph"/>
        <w:spacing w:after="120"/>
        <w:ind w:left="0"/>
        <w:jc w:val="both"/>
      </w:pPr>
      <w:r>
        <w:t xml:space="preserve">CEPT is of the view that if the conditions for the safety operation of CNPC established by ICAO cannot be met with the existing FSS link as it stands, then this link should not be used by the UAS operator. </w:t>
      </w:r>
    </w:p>
    <w:p w14:paraId="220C0BAD" w14:textId="77777777" w:rsidR="009C5E09" w:rsidRDefault="009C5E09" w:rsidP="009C5E09">
      <w:pPr>
        <w:pStyle w:val="ListParagraph"/>
        <w:spacing w:after="120"/>
        <w:ind w:left="0"/>
        <w:jc w:val="both"/>
      </w:pPr>
      <w:r>
        <w:t>CEPT is of the view that the safety aspects of UAS CNPC shall not have any impact on:</w:t>
      </w:r>
    </w:p>
    <w:p w14:paraId="4328AB76" w14:textId="77777777" w:rsidR="009C5E09" w:rsidRPr="009C5E09" w:rsidRDefault="009C5E09" w:rsidP="009C5E09">
      <w:pPr>
        <w:numPr>
          <w:ilvl w:val="0"/>
          <w:numId w:val="18"/>
        </w:numPr>
        <w:ind w:leftChars="145" w:left="708"/>
        <w:rPr>
          <w:lang w:val="en-NZ"/>
        </w:rPr>
      </w:pPr>
      <w:r w:rsidRPr="009C5E09">
        <w:rPr>
          <w:lang w:val="en-NZ"/>
        </w:rPr>
        <w:t xml:space="preserve">the existing terrestrial services and their current and expected applications; </w:t>
      </w:r>
    </w:p>
    <w:p w14:paraId="0A46AFE1" w14:textId="77777777" w:rsidR="009C5E09" w:rsidRPr="009C5E09" w:rsidRDefault="009C5E09" w:rsidP="009C5E09">
      <w:pPr>
        <w:numPr>
          <w:ilvl w:val="0"/>
          <w:numId w:val="18"/>
        </w:numPr>
        <w:ind w:leftChars="145" w:left="708"/>
        <w:rPr>
          <w:lang w:val="en-NZ"/>
        </w:rPr>
      </w:pPr>
      <w:r w:rsidRPr="009C5E09">
        <w:rPr>
          <w:lang w:val="en-NZ"/>
        </w:rPr>
        <w:t xml:space="preserve">the relevant existing agreements reached during FSS satellite coordination process; </w:t>
      </w:r>
    </w:p>
    <w:p w14:paraId="54D5EE54" w14:textId="77777777" w:rsidR="009C5E09" w:rsidRPr="009C5E09" w:rsidRDefault="009C5E09" w:rsidP="009C5E09">
      <w:pPr>
        <w:numPr>
          <w:ilvl w:val="0"/>
          <w:numId w:val="18"/>
        </w:numPr>
        <w:ind w:leftChars="145" w:left="708"/>
        <w:rPr>
          <w:lang w:val="en-NZ"/>
        </w:rPr>
      </w:pPr>
      <w:r w:rsidRPr="009C5E09">
        <w:rPr>
          <w:lang w:val="en-NZ"/>
        </w:rPr>
        <w:t xml:space="preserve">the future coordination of FSS networks during the application of provisions of Articles </w:t>
      </w:r>
      <w:r w:rsidRPr="009C5E09">
        <w:rPr>
          <w:b/>
          <w:bCs/>
          <w:lang w:val="en-NZ"/>
        </w:rPr>
        <w:t xml:space="preserve">9 </w:t>
      </w:r>
      <w:r w:rsidRPr="009C5E09">
        <w:rPr>
          <w:lang w:val="en-NZ"/>
        </w:rPr>
        <w:t xml:space="preserve">and </w:t>
      </w:r>
      <w:r w:rsidRPr="009C5E09">
        <w:rPr>
          <w:b/>
          <w:bCs/>
          <w:lang w:val="en-NZ"/>
        </w:rPr>
        <w:t xml:space="preserve">11 </w:t>
      </w:r>
      <w:r w:rsidRPr="009C5E09">
        <w:rPr>
          <w:lang w:val="en-NZ"/>
        </w:rPr>
        <w:t xml:space="preserve">of the Radio Regulations; </w:t>
      </w:r>
    </w:p>
    <w:p w14:paraId="2E24F112" w14:textId="6EED721E" w:rsidR="009C5E09" w:rsidRDefault="009C5E09" w:rsidP="009C5E09">
      <w:pPr>
        <w:numPr>
          <w:ilvl w:val="0"/>
          <w:numId w:val="18"/>
        </w:numPr>
        <w:ind w:leftChars="145" w:left="708"/>
        <w:rPr>
          <w:lang w:val="en-NZ"/>
        </w:rPr>
      </w:pPr>
      <w:r w:rsidRPr="009C5E09">
        <w:rPr>
          <w:lang w:val="en-NZ"/>
        </w:rPr>
        <w:t xml:space="preserve">all cases which fall under RR No. </w:t>
      </w:r>
      <w:r w:rsidRPr="009C5E09">
        <w:rPr>
          <w:b/>
          <w:bCs/>
          <w:lang w:val="en-NZ"/>
        </w:rPr>
        <w:t>11.41</w:t>
      </w:r>
      <w:r w:rsidRPr="009C5E09">
        <w:rPr>
          <w:lang w:val="en-NZ"/>
        </w:rPr>
        <w:t>.</w:t>
      </w:r>
    </w:p>
    <w:p w14:paraId="263FDEB0" w14:textId="77777777" w:rsidR="009C5E09" w:rsidRPr="009C5E09" w:rsidRDefault="009C5E09" w:rsidP="009C5E09">
      <w:pPr>
        <w:ind w:left="708"/>
        <w:rPr>
          <w:lang w:val="en-NZ"/>
        </w:rPr>
      </w:pPr>
    </w:p>
    <w:p w14:paraId="5A41103C" w14:textId="77777777" w:rsidR="009C5E09" w:rsidRDefault="009C5E09" w:rsidP="009C5E09">
      <w:pPr>
        <w:pStyle w:val="ListParagraph"/>
        <w:spacing w:after="120"/>
        <w:ind w:left="0"/>
        <w:jc w:val="both"/>
      </w:pPr>
      <w:r>
        <w:t xml:space="preserve">CEPT is currently investigate two options in accordance with Resolution </w:t>
      </w:r>
      <w:r>
        <w:rPr>
          <w:b/>
          <w:bCs/>
        </w:rPr>
        <w:t>171 (WRC-19)</w:t>
      </w:r>
      <w:r>
        <w:t xml:space="preserve"> to respond to this agenda item:</w:t>
      </w:r>
    </w:p>
    <w:p w14:paraId="0D18BFB1" w14:textId="77777777" w:rsidR="009C5E09" w:rsidRPr="009C5E09" w:rsidRDefault="009C5E09" w:rsidP="009C5E09">
      <w:pPr>
        <w:numPr>
          <w:ilvl w:val="0"/>
          <w:numId w:val="18"/>
        </w:numPr>
        <w:ind w:leftChars="145" w:left="708"/>
        <w:rPr>
          <w:lang w:val="en-NZ"/>
        </w:rPr>
      </w:pPr>
      <w:r w:rsidRPr="009C5E09">
        <w:rPr>
          <w:lang w:val="en-NZ"/>
        </w:rPr>
        <w:t xml:space="preserve">to suppress RR No. </w:t>
      </w:r>
      <w:r w:rsidRPr="009C5E09">
        <w:rPr>
          <w:b/>
          <w:bCs/>
          <w:lang w:val="en-NZ"/>
        </w:rPr>
        <w:t>5.484B</w:t>
      </w:r>
      <w:r w:rsidRPr="009C5E09">
        <w:rPr>
          <w:lang w:val="en-NZ"/>
        </w:rPr>
        <w:t xml:space="preserve"> together with Resolution </w:t>
      </w:r>
      <w:r w:rsidRPr="009C5E09">
        <w:rPr>
          <w:b/>
          <w:bCs/>
          <w:lang w:val="en-NZ"/>
        </w:rPr>
        <w:t xml:space="preserve">155 (Rev.WRC-19) </w:t>
      </w:r>
      <w:r w:rsidRPr="009C5E09">
        <w:rPr>
          <w:lang w:val="en-NZ"/>
        </w:rPr>
        <w:t>as well as Resolution</w:t>
      </w:r>
      <w:r w:rsidRPr="009C5E09">
        <w:rPr>
          <w:b/>
          <w:bCs/>
          <w:lang w:val="en-NZ"/>
        </w:rPr>
        <w:t xml:space="preserve"> 171 (WRC-19)</w:t>
      </w:r>
      <w:r w:rsidRPr="009C5E09">
        <w:rPr>
          <w:lang w:val="en-NZ"/>
        </w:rPr>
        <w:t xml:space="preserve"> </w:t>
      </w:r>
    </w:p>
    <w:p w14:paraId="097EA060" w14:textId="77777777" w:rsidR="009C5E09" w:rsidRPr="009C5E09" w:rsidRDefault="009C5E09" w:rsidP="009C5E09">
      <w:pPr>
        <w:numPr>
          <w:ilvl w:val="0"/>
          <w:numId w:val="18"/>
        </w:numPr>
        <w:ind w:leftChars="145" w:left="708"/>
        <w:rPr>
          <w:lang w:val="en-NZ"/>
        </w:rPr>
      </w:pPr>
      <w:r w:rsidRPr="009C5E09">
        <w:rPr>
          <w:lang w:val="en-NZ"/>
        </w:rPr>
        <w:t xml:space="preserve">to modify RR No. </w:t>
      </w:r>
      <w:r w:rsidRPr="009C5E09">
        <w:rPr>
          <w:b/>
          <w:bCs/>
          <w:lang w:val="en-NZ"/>
        </w:rPr>
        <w:t xml:space="preserve">5.484B </w:t>
      </w:r>
      <w:r w:rsidRPr="009C5E09">
        <w:rPr>
          <w:lang w:val="en-NZ"/>
        </w:rPr>
        <w:t xml:space="preserve">and Resolution </w:t>
      </w:r>
      <w:r w:rsidRPr="009C5E09">
        <w:rPr>
          <w:b/>
          <w:bCs/>
          <w:lang w:val="en-NZ"/>
        </w:rPr>
        <w:t>155 (Rev.WRC-19)</w:t>
      </w:r>
      <w:r w:rsidRPr="009C5E09">
        <w:rPr>
          <w:lang w:val="en-NZ"/>
        </w:rPr>
        <w:t xml:space="preserve"> and to suppress Resolution </w:t>
      </w:r>
      <w:r w:rsidRPr="009C5E09">
        <w:rPr>
          <w:b/>
          <w:bCs/>
          <w:lang w:val="en-NZ"/>
        </w:rPr>
        <w:t>171 (WRC-19)</w:t>
      </w:r>
    </w:p>
    <w:p w14:paraId="2FB32563" w14:textId="77777777" w:rsidR="001818D2" w:rsidRPr="009C5E09" w:rsidRDefault="001818D2" w:rsidP="001818D2">
      <w:pPr>
        <w:rPr>
          <w:lang w:val="en-NZ"/>
        </w:rPr>
      </w:pPr>
    </w:p>
    <w:p w14:paraId="06AE17D1" w14:textId="55E3D637" w:rsidR="001818D2" w:rsidRPr="00441526" w:rsidRDefault="001818D2" w:rsidP="001818D2">
      <w:pPr>
        <w:spacing w:after="120"/>
        <w:jc w:val="both"/>
        <w:rPr>
          <w:b/>
          <w:lang w:val="en-NZ" w:eastAsia="ko-KR"/>
        </w:rPr>
      </w:pPr>
      <w:r>
        <w:rPr>
          <w:b/>
          <w:lang w:val="en-NZ" w:eastAsia="ko-KR"/>
        </w:rPr>
        <w:t>7</w:t>
      </w:r>
      <w:r w:rsidRPr="00441526">
        <w:rPr>
          <w:b/>
          <w:lang w:val="en-NZ" w:eastAsia="ko-KR"/>
        </w:rPr>
        <w:t>.1.</w:t>
      </w:r>
      <w:r w:rsidR="00D32FE6">
        <w:rPr>
          <w:b/>
          <w:lang w:val="en-NZ" w:eastAsia="ko-KR"/>
        </w:rPr>
        <w:t>4</w:t>
      </w:r>
      <w:r w:rsidRPr="00441526">
        <w:rPr>
          <w:b/>
          <w:lang w:val="en-NZ" w:eastAsia="ko-KR"/>
        </w:rPr>
        <w:t xml:space="preserve">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/INF-</w:t>
      </w:r>
      <w:r w:rsidR="009C5E09">
        <w:rPr>
          <w:b/>
          <w:lang w:val="en-NZ" w:eastAsia="ko-KR"/>
        </w:rPr>
        <w:t>52</w:t>
      </w:r>
    </w:p>
    <w:p w14:paraId="2408E1E8" w14:textId="700377FD" w:rsidR="009C5E09" w:rsidRDefault="009C5E09" w:rsidP="009C5E09">
      <w:pPr>
        <w:spacing w:after="120"/>
        <w:jc w:val="both"/>
      </w:pPr>
      <w:r>
        <w:t>An Administration provided Preliminary Proposal at recent CITEL meeting. This</w:t>
      </w:r>
      <w:r>
        <w:rPr>
          <w:rFonts w:eastAsia="MS Mincho" w:hint="eastAsia"/>
          <w:lang w:eastAsia="ja-JP"/>
        </w:rPr>
        <w:t xml:space="preserve"> </w:t>
      </w:r>
      <w:r>
        <w:t xml:space="preserve">proposal is based on the studies carried out in line with Resolution </w:t>
      </w:r>
      <w:r w:rsidRPr="0012500E">
        <w:rPr>
          <w:b/>
          <w:bCs/>
        </w:rPr>
        <w:t>171 (WRC-19)</w:t>
      </w:r>
      <w:r>
        <w:t xml:space="preserve"> and</w:t>
      </w:r>
      <w:r>
        <w:rPr>
          <w:rFonts w:eastAsia="MS Mincho" w:hint="eastAsia"/>
          <w:lang w:eastAsia="ja-JP"/>
        </w:rPr>
        <w:t xml:space="preserve"> </w:t>
      </w:r>
      <w:r>
        <w:t xml:space="preserve">Resolution </w:t>
      </w:r>
      <w:r w:rsidRPr="0012500E">
        <w:rPr>
          <w:b/>
          <w:bCs/>
        </w:rPr>
        <w:t xml:space="preserve">155 (Rev.WRC-19) </w:t>
      </w:r>
      <w:r>
        <w:t xml:space="preserve">that define conditions for operating command and non-payload communication </w:t>
      </w:r>
      <w:r>
        <w:lastRenderedPageBreak/>
        <w:t>(CNPC) for unmanned Aerial systems (UAS) in the FSS in the</w:t>
      </w:r>
      <w:r>
        <w:rPr>
          <w:rFonts w:eastAsia="MS Mincho" w:hint="eastAsia"/>
          <w:lang w:eastAsia="ja-JP"/>
        </w:rPr>
        <w:t xml:space="preserve"> </w:t>
      </w:r>
      <w:r>
        <w:t xml:space="preserve">frequency bands identified in No. </w:t>
      </w:r>
      <w:r w:rsidRPr="0012500E">
        <w:rPr>
          <w:b/>
          <w:bCs/>
        </w:rPr>
        <w:t>5.484B</w:t>
      </w:r>
      <w:r>
        <w:t>.</w:t>
      </w:r>
    </w:p>
    <w:p w14:paraId="07987328" w14:textId="3D9766B2" w:rsidR="009C5E09" w:rsidRPr="0012500E" w:rsidRDefault="009C5E09" w:rsidP="0012500E">
      <w:pPr>
        <w:numPr>
          <w:ilvl w:val="0"/>
          <w:numId w:val="18"/>
        </w:numPr>
        <w:rPr>
          <w:lang w:val="en-NZ"/>
        </w:rPr>
      </w:pPr>
      <w:r w:rsidRPr="0012500E">
        <w:rPr>
          <w:b/>
          <w:bCs/>
          <w:lang w:val="en-NZ"/>
        </w:rPr>
        <w:t xml:space="preserve">MOD RESOLUTION 155 (WRC-19) </w:t>
      </w:r>
      <w:r w:rsidRPr="0012500E">
        <w:rPr>
          <w:lang w:val="en-NZ"/>
        </w:rPr>
        <w:t>“Regulatory provisions related to earth stations on</w:t>
      </w:r>
      <w:r w:rsidR="0012500E">
        <w:rPr>
          <w:rFonts w:eastAsia="MS Mincho" w:hint="eastAsia"/>
          <w:lang w:val="en-NZ" w:eastAsia="ja-JP"/>
        </w:rPr>
        <w:t xml:space="preserve"> </w:t>
      </w:r>
      <w:r w:rsidRPr="0012500E">
        <w:rPr>
          <w:lang w:val="en-NZ"/>
        </w:rPr>
        <w:t>board unmanned aircraft which operate with GSO networks in FSS in certain frequency</w:t>
      </w:r>
      <w:r w:rsidR="0012500E">
        <w:rPr>
          <w:rFonts w:eastAsia="MS Mincho" w:hint="eastAsia"/>
          <w:lang w:val="en-NZ" w:eastAsia="ja-JP"/>
        </w:rPr>
        <w:t xml:space="preserve"> </w:t>
      </w:r>
      <w:r w:rsidRPr="0012500E">
        <w:rPr>
          <w:lang w:val="en-NZ"/>
        </w:rPr>
        <w:t>bands not subject to a Plan of Appendix 30, 30A and 30B for CNPC of UAS in non</w:t>
      </w:r>
      <w:r w:rsidR="0012500E">
        <w:rPr>
          <w:lang w:val="en-NZ"/>
        </w:rPr>
        <w:t>-</w:t>
      </w:r>
      <w:r w:rsidRPr="0012500E">
        <w:rPr>
          <w:lang w:val="en-NZ"/>
        </w:rPr>
        <w:t>segregated airspaces”</w:t>
      </w:r>
    </w:p>
    <w:p w14:paraId="7E8684D8" w14:textId="744B9540" w:rsidR="009C5E09" w:rsidRPr="0012500E" w:rsidRDefault="009C5E09" w:rsidP="0012500E">
      <w:pPr>
        <w:numPr>
          <w:ilvl w:val="0"/>
          <w:numId w:val="18"/>
        </w:numPr>
        <w:rPr>
          <w:b/>
          <w:bCs/>
          <w:lang w:val="en-NZ"/>
        </w:rPr>
      </w:pPr>
      <w:r w:rsidRPr="0012500E">
        <w:rPr>
          <w:lang w:val="en-NZ"/>
        </w:rPr>
        <w:t xml:space="preserve"> </w:t>
      </w:r>
      <w:r w:rsidRPr="0012500E">
        <w:rPr>
          <w:b/>
          <w:bCs/>
          <w:lang w:val="en-NZ"/>
        </w:rPr>
        <w:t>MOD 5.484B</w:t>
      </w:r>
    </w:p>
    <w:p w14:paraId="56B3642B" w14:textId="0A59FB89" w:rsidR="009C5E09" w:rsidRPr="0012500E" w:rsidRDefault="009C5E09" w:rsidP="0012500E">
      <w:pPr>
        <w:numPr>
          <w:ilvl w:val="0"/>
          <w:numId w:val="18"/>
        </w:numPr>
        <w:rPr>
          <w:lang w:val="en-NZ"/>
        </w:rPr>
      </w:pPr>
      <w:r w:rsidRPr="0012500E">
        <w:rPr>
          <w:lang w:val="en-NZ"/>
        </w:rPr>
        <w:t xml:space="preserve"> </w:t>
      </w:r>
      <w:r w:rsidRPr="0012500E">
        <w:rPr>
          <w:b/>
          <w:bCs/>
          <w:lang w:val="en-NZ"/>
        </w:rPr>
        <w:t>SUP RESOLUTION 171 (WRC-19)</w:t>
      </w:r>
      <w:r w:rsidRPr="0012500E">
        <w:rPr>
          <w:lang w:val="en-NZ"/>
        </w:rPr>
        <w:t xml:space="preserve"> – Consequential to the results of studies at ITU-R in</w:t>
      </w:r>
      <w:r w:rsidR="0012500E">
        <w:rPr>
          <w:rFonts w:eastAsia="MS Mincho" w:hint="eastAsia"/>
          <w:lang w:val="en-NZ" w:eastAsia="ja-JP"/>
        </w:rPr>
        <w:t xml:space="preserve"> </w:t>
      </w:r>
      <w:r>
        <w:t>relation to this Resolution.</w:t>
      </w:r>
    </w:p>
    <w:p w14:paraId="2739374B" w14:textId="6351860F" w:rsidR="001818D2" w:rsidRPr="00441526" w:rsidRDefault="001818D2" w:rsidP="001818D2">
      <w:pPr>
        <w:spacing w:after="120"/>
        <w:jc w:val="both"/>
        <w:rPr>
          <w:b/>
          <w:lang w:val="en-NZ" w:eastAsia="ko-KR"/>
        </w:rPr>
      </w:pPr>
      <w:r>
        <w:rPr>
          <w:b/>
          <w:lang w:val="en-NZ" w:eastAsia="ko-KR"/>
        </w:rPr>
        <w:t>7</w:t>
      </w:r>
      <w:r w:rsidRPr="00441526">
        <w:rPr>
          <w:b/>
          <w:lang w:val="en-NZ" w:eastAsia="ko-KR"/>
        </w:rPr>
        <w:t>.1.</w:t>
      </w:r>
      <w:r w:rsidR="00D32FE6">
        <w:rPr>
          <w:b/>
          <w:lang w:val="en-NZ" w:eastAsia="ko-KR"/>
        </w:rPr>
        <w:t>5</w:t>
      </w:r>
      <w:r w:rsidRPr="00441526">
        <w:rPr>
          <w:b/>
          <w:lang w:val="en-NZ" w:eastAsia="ko-KR"/>
        </w:rPr>
        <w:t xml:space="preserve"> </w:t>
      </w:r>
      <w:r w:rsidRPr="00441526">
        <w:rPr>
          <w:b/>
          <w:lang w:val="en-NZ" w:eastAsia="ko-KR"/>
        </w:rPr>
        <w:tab/>
        <w:t xml:space="preserve">RCC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/INF-</w:t>
      </w:r>
      <w:r w:rsidR="009C5E09">
        <w:rPr>
          <w:b/>
          <w:lang w:val="en-NZ" w:eastAsia="ko-KR"/>
        </w:rPr>
        <w:t>45</w:t>
      </w:r>
    </w:p>
    <w:p w14:paraId="1EEE1764" w14:textId="76CB45AB" w:rsidR="009C5E09" w:rsidRPr="009C5E09" w:rsidRDefault="009C5E09" w:rsidP="009C5E09">
      <w:pPr>
        <w:rPr>
          <w:lang w:val="en-NZ"/>
        </w:rPr>
      </w:pPr>
      <w:r>
        <w:t>The RCC Administrations are of the view that</w:t>
      </w:r>
      <w:r w:rsidRPr="009C5E09">
        <w:rPr>
          <w:lang w:val="en-NZ"/>
        </w:rPr>
        <w:t xml:space="preserve">: </w:t>
      </w:r>
    </w:p>
    <w:p w14:paraId="31AC701C" w14:textId="6034BFDB" w:rsidR="009C5E09" w:rsidRPr="009C5E09" w:rsidRDefault="009C5E09" w:rsidP="009C5E09">
      <w:pPr>
        <w:numPr>
          <w:ilvl w:val="0"/>
          <w:numId w:val="18"/>
        </w:numPr>
        <w:rPr>
          <w:lang w:val="en-NZ"/>
        </w:rPr>
      </w:pPr>
      <w:r w:rsidRPr="009C5E09">
        <w:rPr>
          <w:lang w:val="en-NZ"/>
        </w:rPr>
        <w:t>for operation of UAS CNPC, only ITU registered frequency assignments to FSS satellite</w:t>
      </w:r>
      <w:r>
        <w:rPr>
          <w:rFonts w:eastAsia="MS Mincho" w:hint="eastAsia"/>
          <w:lang w:val="en-NZ" w:eastAsia="ja-JP"/>
        </w:rPr>
        <w:t xml:space="preserve"> </w:t>
      </w:r>
      <w:r w:rsidRPr="009C5E09">
        <w:rPr>
          <w:lang w:val="en-NZ"/>
        </w:rPr>
        <w:t>networks, for which the coordination has been successfully completed, shall be used;</w:t>
      </w:r>
    </w:p>
    <w:p w14:paraId="57FAC6AC" w14:textId="6D544D4C" w:rsidR="009C5E09" w:rsidRPr="009C5E09" w:rsidRDefault="009C5E09" w:rsidP="009C5E09">
      <w:pPr>
        <w:numPr>
          <w:ilvl w:val="0"/>
          <w:numId w:val="18"/>
        </w:numPr>
        <w:rPr>
          <w:lang w:val="en-NZ"/>
        </w:rPr>
      </w:pPr>
      <w:r w:rsidRPr="009C5E09">
        <w:rPr>
          <w:lang w:val="en-NZ"/>
        </w:rPr>
        <w:t>UAS CNPC links shall operate in accordance with ICAO SARPs, covering all aviation</w:t>
      </w:r>
      <w:r>
        <w:rPr>
          <w:rFonts w:eastAsia="MS Mincho" w:hint="eastAsia"/>
          <w:lang w:val="en-NZ" w:eastAsia="ja-JP"/>
        </w:rPr>
        <w:t xml:space="preserve"> </w:t>
      </w:r>
      <w:r w:rsidRPr="009C5E09">
        <w:rPr>
          <w:lang w:val="en-NZ"/>
        </w:rPr>
        <w:t>safety issues;</w:t>
      </w:r>
    </w:p>
    <w:p w14:paraId="22D9A0EE" w14:textId="2756996F" w:rsidR="009C5E09" w:rsidRPr="009C5E09" w:rsidRDefault="009C5E09" w:rsidP="009C5E09">
      <w:pPr>
        <w:numPr>
          <w:ilvl w:val="0"/>
          <w:numId w:val="18"/>
        </w:numPr>
        <w:rPr>
          <w:lang w:val="en-NZ"/>
        </w:rPr>
      </w:pPr>
      <w:r w:rsidRPr="009C5E09">
        <w:rPr>
          <w:lang w:val="en-NZ"/>
        </w:rPr>
        <w:t>the links of FSS networks which are not compliant with the ICAO SARPs requirements</w:t>
      </w:r>
      <w:r>
        <w:rPr>
          <w:rFonts w:eastAsia="MS Mincho" w:hint="eastAsia"/>
          <w:lang w:val="en-NZ" w:eastAsia="ja-JP"/>
        </w:rPr>
        <w:t xml:space="preserve"> </w:t>
      </w:r>
      <w:r w:rsidRPr="009C5E09">
        <w:rPr>
          <w:lang w:val="en-NZ"/>
        </w:rPr>
        <w:t>for UAS control and communications links, shall not be used for control and</w:t>
      </w:r>
      <w:r>
        <w:rPr>
          <w:rFonts w:eastAsia="MS Mincho" w:hint="eastAsia"/>
          <w:lang w:val="en-NZ" w:eastAsia="ja-JP"/>
        </w:rPr>
        <w:t xml:space="preserve"> </w:t>
      </w:r>
      <w:r w:rsidRPr="009C5E09">
        <w:rPr>
          <w:lang w:val="en-NZ"/>
        </w:rPr>
        <w:t>communications of UAS;</w:t>
      </w:r>
    </w:p>
    <w:p w14:paraId="3FF18E8B" w14:textId="2BAA8737" w:rsidR="009C5E09" w:rsidRPr="009C5E09" w:rsidRDefault="009C5E09" w:rsidP="009C5E09">
      <w:pPr>
        <w:numPr>
          <w:ilvl w:val="0"/>
          <w:numId w:val="18"/>
        </w:numPr>
        <w:rPr>
          <w:lang w:val="en-NZ"/>
        </w:rPr>
      </w:pPr>
      <w:r w:rsidRPr="009C5E09">
        <w:rPr>
          <w:lang w:val="en-NZ"/>
        </w:rPr>
        <w:t>revision of current Resolution 155 (Rev.WRC-19) or development of new Resolution</w:t>
      </w:r>
      <w:r>
        <w:rPr>
          <w:rFonts w:eastAsia="MS Mincho" w:hint="eastAsia"/>
          <w:lang w:val="en-NZ" w:eastAsia="ja-JP"/>
        </w:rPr>
        <w:t xml:space="preserve"> </w:t>
      </w:r>
      <w:r w:rsidRPr="009C5E09">
        <w:rPr>
          <w:lang w:val="en-NZ"/>
        </w:rPr>
        <w:t>shall be based on the results of the ITU-R compatibility studies for UAS CNPC links with</w:t>
      </w:r>
      <w:r>
        <w:rPr>
          <w:rFonts w:eastAsia="MS Mincho" w:hint="eastAsia"/>
          <w:lang w:val="en-NZ" w:eastAsia="ja-JP"/>
        </w:rPr>
        <w:t xml:space="preserve"> </w:t>
      </w:r>
      <w:r w:rsidRPr="009C5E09">
        <w:rPr>
          <w:lang w:val="en-NZ"/>
        </w:rPr>
        <w:t>the systems of existing services, operating within this band and if necessary in adjacent</w:t>
      </w:r>
      <w:r>
        <w:rPr>
          <w:rFonts w:eastAsia="MS Mincho" w:hint="eastAsia"/>
          <w:lang w:val="en-NZ" w:eastAsia="ja-JP"/>
        </w:rPr>
        <w:t xml:space="preserve"> </w:t>
      </w:r>
      <w:r w:rsidRPr="009C5E09">
        <w:rPr>
          <w:lang w:val="en-NZ"/>
        </w:rPr>
        <w:t>frequency bands;</w:t>
      </w:r>
    </w:p>
    <w:p w14:paraId="5FAB4F88" w14:textId="2C6D31E8" w:rsidR="009C5E09" w:rsidRPr="009C5E09" w:rsidRDefault="009C5E09" w:rsidP="009C5E09">
      <w:pPr>
        <w:numPr>
          <w:ilvl w:val="0"/>
          <w:numId w:val="18"/>
        </w:numPr>
        <w:rPr>
          <w:lang w:val="en-NZ"/>
        </w:rPr>
      </w:pPr>
      <w:r w:rsidRPr="009C5E09">
        <w:rPr>
          <w:lang w:val="en-NZ"/>
        </w:rPr>
        <w:t>UAS CNPC links shall not cause more interference and shall not claim more protection</w:t>
      </w:r>
      <w:r>
        <w:rPr>
          <w:rFonts w:eastAsia="MS Mincho" w:hint="eastAsia"/>
          <w:lang w:val="en-NZ" w:eastAsia="ja-JP"/>
        </w:rPr>
        <w:t xml:space="preserve"> </w:t>
      </w:r>
      <w:r w:rsidRPr="009C5E09">
        <w:rPr>
          <w:lang w:val="en-NZ"/>
        </w:rPr>
        <w:t>than stations in FSS satellite networks which have been coordinated and registered in</w:t>
      </w:r>
      <w:r>
        <w:rPr>
          <w:rFonts w:eastAsia="MS Mincho" w:hint="eastAsia"/>
          <w:lang w:val="en-NZ" w:eastAsia="ja-JP"/>
        </w:rPr>
        <w:t xml:space="preserve"> </w:t>
      </w:r>
      <w:r w:rsidRPr="009C5E09">
        <w:rPr>
          <w:lang w:val="en-NZ"/>
        </w:rPr>
        <w:t>ITU;</w:t>
      </w:r>
    </w:p>
    <w:p w14:paraId="32A177C7" w14:textId="37EDFC08" w:rsidR="009C5E09" w:rsidRPr="009C5E09" w:rsidRDefault="009C5E09" w:rsidP="009C5E09">
      <w:pPr>
        <w:numPr>
          <w:ilvl w:val="0"/>
          <w:numId w:val="18"/>
        </w:numPr>
        <w:rPr>
          <w:lang w:val="en-NZ"/>
        </w:rPr>
      </w:pPr>
      <w:r w:rsidRPr="009C5E09">
        <w:rPr>
          <w:lang w:val="en-NZ"/>
        </w:rPr>
        <w:t>UAS CNPC links shall not restrict future development and impose additional restrictions</w:t>
      </w:r>
      <w:r>
        <w:rPr>
          <w:rFonts w:eastAsia="MS Mincho" w:hint="eastAsia"/>
          <w:lang w:val="en-NZ" w:eastAsia="ja-JP"/>
        </w:rPr>
        <w:t xml:space="preserve"> </w:t>
      </w:r>
      <w:r w:rsidRPr="009C5E09">
        <w:rPr>
          <w:lang w:val="en-NZ"/>
        </w:rPr>
        <w:t>on existing services, which have RR allocations within this band or adjacent frequency</w:t>
      </w:r>
      <w:r>
        <w:rPr>
          <w:rFonts w:eastAsia="MS Mincho" w:hint="eastAsia"/>
          <w:lang w:val="en-NZ" w:eastAsia="ja-JP"/>
        </w:rPr>
        <w:t xml:space="preserve"> </w:t>
      </w:r>
      <w:r w:rsidRPr="009C5E09">
        <w:rPr>
          <w:lang w:val="en-NZ"/>
        </w:rPr>
        <w:t>bands.</w:t>
      </w:r>
    </w:p>
    <w:p w14:paraId="7FE4063E" w14:textId="77777777" w:rsidR="009C5E09" w:rsidRDefault="009C5E09" w:rsidP="009C5E09">
      <w:pPr>
        <w:ind w:left="-80"/>
        <w:rPr>
          <w:lang w:val="en-NZ"/>
        </w:rPr>
      </w:pPr>
    </w:p>
    <w:p w14:paraId="277D8BCD" w14:textId="28D148D6" w:rsidR="009C5E09" w:rsidRPr="009C5E09" w:rsidRDefault="009C5E09" w:rsidP="009C5E09">
      <w:pPr>
        <w:ind w:left="-80"/>
        <w:rPr>
          <w:lang w:val="en-NZ"/>
        </w:rPr>
      </w:pPr>
      <w:r w:rsidRPr="009C5E09">
        <w:rPr>
          <w:lang w:val="en-NZ"/>
        </w:rPr>
        <w:t>Method В from the CPM Report is preferable.</w:t>
      </w:r>
    </w:p>
    <w:p w14:paraId="4EC789D4" w14:textId="77777777" w:rsidR="001818D2" w:rsidRPr="00441526" w:rsidRDefault="001818D2" w:rsidP="001818D2">
      <w:pPr>
        <w:rPr>
          <w:lang w:val="en-NZ"/>
        </w:rPr>
      </w:pPr>
    </w:p>
    <w:p w14:paraId="3F7090BE" w14:textId="509E3A2D" w:rsidR="001818D2" w:rsidRPr="00910A1B" w:rsidRDefault="001818D2" w:rsidP="00910A1B">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bookmarkStart w:id="10" w:name="_Hlk141791836"/>
    </w:p>
    <w:bookmarkEnd w:id="10"/>
    <w:p w14:paraId="5C6D9CCB" w14:textId="1937416B" w:rsidR="001818D2" w:rsidRPr="00441526" w:rsidRDefault="001818D2" w:rsidP="001818D2">
      <w:pPr>
        <w:spacing w:after="120"/>
        <w:jc w:val="both"/>
        <w:rPr>
          <w:b/>
          <w:lang w:val="en-NZ" w:eastAsia="ko-KR"/>
        </w:rPr>
      </w:pPr>
      <w:r>
        <w:rPr>
          <w:b/>
          <w:lang w:val="en-NZ" w:eastAsia="ko-KR"/>
        </w:rPr>
        <w:t>7</w:t>
      </w:r>
      <w:r w:rsidRPr="00441526">
        <w:rPr>
          <w:b/>
          <w:lang w:val="en-NZ" w:eastAsia="ko-KR"/>
        </w:rPr>
        <w:t>.2.</w:t>
      </w:r>
      <w:r w:rsidR="00910A1B">
        <w:rPr>
          <w:b/>
          <w:lang w:val="en-NZ" w:eastAsia="ko-KR"/>
        </w:rPr>
        <w:t>1</w:t>
      </w:r>
      <w:r w:rsidRPr="00441526">
        <w:rPr>
          <w:b/>
          <w:lang w:val="en-NZ" w:eastAsia="ko-KR"/>
        </w:rPr>
        <w:t xml:space="preserve"> </w:t>
      </w:r>
      <w:r w:rsidRPr="00441526">
        <w:rPr>
          <w:b/>
          <w:lang w:val="en-NZ" w:eastAsia="ko-KR"/>
        </w:rPr>
        <w:tab/>
        <w:t xml:space="preserve">ICAO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/INF-</w:t>
      </w:r>
      <w:r w:rsidR="00910A1B">
        <w:rPr>
          <w:b/>
          <w:lang w:val="en-NZ" w:eastAsia="ko-KR"/>
        </w:rPr>
        <w:t>25</w:t>
      </w:r>
    </w:p>
    <w:p w14:paraId="0F2806F5" w14:textId="77777777" w:rsidR="00910A1B" w:rsidRPr="00910A1B" w:rsidRDefault="00910A1B" w:rsidP="00910A1B">
      <w:pPr>
        <w:jc w:val="both"/>
        <w:rPr>
          <w:rFonts w:eastAsia="MS Mincho"/>
          <w:bCs/>
          <w:lang w:val="en-NZ" w:eastAsia="ja-JP"/>
        </w:rPr>
      </w:pPr>
      <w:r w:rsidRPr="00910A1B">
        <w:rPr>
          <w:rFonts w:eastAsia="MS Mincho"/>
          <w:bCs/>
          <w:lang w:val="en-NZ" w:eastAsia="ja-JP"/>
        </w:rPr>
        <w:t>To support the modification of No.</w:t>
      </w:r>
      <w:r w:rsidRPr="00910A1B">
        <w:rPr>
          <w:rFonts w:eastAsia="MS Mincho"/>
          <w:b/>
          <w:lang w:val="en-NZ" w:eastAsia="ja-JP"/>
        </w:rPr>
        <w:t xml:space="preserve"> 5.484B</w:t>
      </w:r>
      <w:r w:rsidRPr="00910A1B">
        <w:rPr>
          <w:rFonts w:eastAsia="MS Mincho"/>
          <w:bCs/>
          <w:lang w:val="en-NZ" w:eastAsia="ja-JP"/>
        </w:rPr>
        <w:t xml:space="preserve"> and Resolution</w:t>
      </w:r>
      <w:r w:rsidRPr="00910A1B">
        <w:rPr>
          <w:rFonts w:eastAsia="MS Mincho"/>
          <w:b/>
          <w:lang w:val="en-NZ" w:eastAsia="ja-JP"/>
        </w:rPr>
        <w:t xml:space="preserve"> 155 (Rev.WRC-19)</w:t>
      </w:r>
      <w:r w:rsidRPr="00910A1B">
        <w:rPr>
          <w:rFonts w:eastAsia="MS Mincho"/>
          <w:bCs/>
          <w:lang w:val="en-NZ" w:eastAsia="ja-JP"/>
        </w:rPr>
        <w:t xml:space="preserve">. ICAO is expecting that the decision of WRC-23 will result in a Resolution that: </w:t>
      </w:r>
    </w:p>
    <w:p w14:paraId="07BCB9D3" w14:textId="2D99AB18" w:rsidR="00910A1B" w:rsidRDefault="00910A1B" w:rsidP="00910A1B">
      <w:pPr>
        <w:numPr>
          <w:ilvl w:val="0"/>
          <w:numId w:val="18"/>
        </w:numPr>
        <w:ind w:leftChars="145" w:left="708"/>
        <w:rPr>
          <w:lang w:val="en-NZ"/>
        </w:rPr>
      </w:pPr>
      <w:r w:rsidRPr="00910A1B">
        <w:rPr>
          <w:lang w:val="en-NZ"/>
        </w:rPr>
        <w:t>clearly provides primary status;</w:t>
      </w:r>
    </w:p>
    <w:p w14:paraId="41F97234" w14:textId="7B4573BC" w:rsidR="00910A1B" w:rsidRDefault="00910A1B" w:rsidP="00910A1B">
      <w:pPr>
        <w:numPr>
          <w:ilvl w:val="0"/>
          <w:numId w:val="18"/>
        </w:numPr>
        <w:ind w:leftChars="145" w:left="708"/>
        <w:rPr>
          <w:lang w:val="en-NZ"/>
        </w:rPr>
      </w:pPr>
      <w:r w:rsidRPr="00910A1B">
        <w:rPr>
          <w:lang w:val="en-NZ"/>
        </w:rPr>
        <w:t xml:space="preserve">removes any apparent inconsistencies; </w:t>
      </w:r>
    </w:p>
    <w:p w14:paraId="3D1D49E6" w14:textId="3275E018" w:rsidR="00910A1B" w:rsidRDefault="00910A1B" w:rsidP="00910A1B">
      <w:pPr>
        <w:numPr>
          <w:ilvl w:val="0"/>
          <w:numId w:val="18"/>
        </w:numPr>
        <w:ind w:leftChars="145" w:left="708"/>
        <w:rPr>
          <w:lang w:val="en-NZ"/>
        </w:rPr>
      </w:pPr>
      <w:r w:rsidRPr="00910A1B">
        <w:rPr>
          <w:lang w:val="en-NZ"/>
        </w:rPr>
        <w:t xml:space="preserve">acknowledges that in accordance with the Annexes to the Convention of the International Civil Aviation Organization (ICAO), ensuring the safety-of-life aspects of the use of UAS CNPC is the role of the responsible States; </w:t>
      </w:r>
    </w:p>
    <w:p w14:paraId="112A89E7" w14:textId="6F22C8AA" w:rsidR="00910A1B" w:rsidRDefault="00910A1B" w:rsidP="00910A1B">
      <w:pPr>
        <w:numPr>
          <w:ilvl w:val="0"/>
          <w:numId w:val="18"/>
        </w:numPr>
        <w:ind w:leftChars="145" w:left="708"/>
        <w:rPr>
          <w:lang w:val="en-NZ"/>
        </w:rPr>
      </w:pPr>
      <w:r w:rsidRPr="00910A1B">
        <w:rPr>
          <w:lang w:val="en-NZ"/>
        </w:rPr>
        <w:t xml:space="preserve">provides sufficient information to support and/or validate safety cases; </w:t>
      </w:r>
    </w:p>
    <w:p w14:paraId="1CF64EAC" w14:textId="24791AB2" w:rsidR="00910A1B" w:rsidRDefault="00910A1B" w:rsidP="00910A1B">
      <w:pPr>
        <w:numPr>
          <w:ilvl w:val="0"/>
          <w:numId w:val="18"/>
        </w:numPr>
        <w:ind w:leftChars="145" w:left="708"/>
        <w:rPr>
          <w:lang w:val="en-NZ"/>
        </w:rPr>
      </w:pPr>
      <w:r w:rsidRPr="00910A1B">
        <w:rPr>
          <w:lang w:val="en-NZ"/>
        </w:rPr>
        <w:t xml:space="preserve">ensures that the UAS CNPC operator is notified prior to any change in the service provision performance being implemented as a result of the satellite coordination process; and </w:t>
      </w:r>
    </w:p>
    <w:p w14:paraId="365B66D1" w14:textId="0906C5A2" w:rsidR="00421835" w:rsidRPr="00F17CD1" w:rsidRDefault="00910A1B" w:rsidP="00BF0EE4">
      <w:pPr>
        <w:numPr>
          <w:ilvl w:val="0"/>
          <w:numId w:val="18"/>
        </w:numPr>
        <w:spacing w:after="120"/>
        <w:ind w:leftChars="145" w:left="348" w:firstLine="720"/>
        <w:jc w:val="both"/>
        <w:rPr>
          <w:b/>
          <w:lang w:val="en-NZ" w:eastAsia="ko-KR"/>
        </w:rPr>
      </w:pPr>
      <w:r w:rsidRPr="00F17CD1">
        <w:rPr>
          <w:lang w:val="en-NZ"/>
        </w:rPr>
        <w:t xml:space="preserve">ensures that any change </w:t>
      </w:r>
      <w:proofErr w:type="gramStart"/>
      <w:r w:rsidRPr="00F17CD1">
        <w:rPr>
          <w:lang w:val="en-NZ"/>
        </w:rPr>
        <w:t>as a result of</w:t>
      </w:r>
      <w:proofErr w:type="gramEnd"/>
      <w:r w:rsidRPr="00F17CD1">
        <w:rPr>
          <w:lang w:val="en-NZ"/>
        </w:rPr>
        <w:t xml:space="preserve"> a satellite coordination process does not adversely affect an active service level agreement.</w:t>
      </w:r>
    </w:p>
    <w:sectPr w:rsidR="00421835" w:rsidRPr="00F17CD1" w:rsidSect="00C516C7">
      <w:headerReference w:type="default" r:id="rId13"/>
      <w:footerReference w:type="even" r:id="rId14"/>
      <w:footerReference w:type="default" r:id="rId15"/>
      <w:headerReference w:type="first" r:id="rId16"/>
      <w:footerReference w:type="first" r:id="rId1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F385" w14:textId="77777777" w:rsidR="00F837F6" w:rsidRDefault="00F837F6">
      <w:r>
        <w:separator/>
      </w:r>
    </w:p>
  </w:endnote>
  <w:endnote w:type="continuationSeparator" w:id="0">
    <w:p w14:paraId="48E8EF49" w14:textId="77777777" w:rsidR="00F837F6" w:rsidRDefault="00F8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ulimChe">
    <w:altName w:val="굴림체"/>
    <w:charset w:val="81"/>
    <w:family w:val="modern"/>
    <w:pitch w:val="fixed"/>
    <w:sig w:usb0="B00002AF" w:usb1="69D77CFB" w:usb2="00000030" w:usb3="00000000" w:csb0="0008009F" w:csb1="00000000"/>
  </w:font>
  <w:font w:name="BatangChe">
    <w:altName w:val="Malgun Gothic Semilight"/>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8FE2"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78C4C"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83D0" w14:textId="04C6995A"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1818D2">
      <w:rPr>
        <w:lang w:eastAsia="ko-KR"/>
      </w:rPr>
      <w:t>6</w:t>
    </w:r>
    <w:r w:rsidR="002A0111">
      <w:rPr>
        <w:lang w:eastAsia="ko-KR"/>
      </w:rPr>
      <w:t>/</w:t>
    </w:r>
    <w:r w:rsidR="00822C0E">
      <w:rPr>
        <w:lang w:eastAsia="ko-KR"/>
      </w:rPr>
      <w:t>OUT-17</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DC1A92">
      <w:rPr>
        <w:rStyle w:val="PageNumber"/>
        <w:noProof/>
      </w:rPr>
      <w:t>7</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DC1A92">
      <w:rPr>
        <w:rStyle w:val="PageNumber"/>
        <w:noProof/>
      </w:rPr>
      <w:t>7</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CB423E" w14:paraId="1419F72D" w14:textId="77777777" w:rsidTr="00BB0EA4">
      <w:trPr>
        <w:trHeight w:val="432"/>
      </w:trPr>
      <w:tc>
        <w:tcPr>
          <w:tcW w:w="1296" w:type="dxa"/>
          <w:tcBorders>
            <w:top w:val="single" w:sz="8" w:space="0" w:color="auto"/>
            <w:bottom w:val="nil"/>
            <w:right w:val="nil"/>
          </w:tcBorders>
        </w:tcPr>
        <w:p w14:paraId="66848A9B" w14:textId="4624D633" w:rsidR="00CB423E" w:rsidRDefault="00CB423E" w:rsidP="00CB423E">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23767AAE" w14:textId="3875500C" w:rsidR="00CB423E" w:rsidRPr="002A0111" w:rsidRDefault="00CB423E" w:rsidP="00CB423E">
          <w:pPr>
            <w:pStyle w:val="Footer"/>
            <w:tabs>
              <w:tab w:val="clear" w:pos="4320"/>
              <w:tab w:val="clear" w:pos="8640"/>
            </w:tabs>
          </w:pPr>
        </w:p>
      </w:tc>
      <w:tc>
        <w:tcPr>
          <w:tcW w:w="2880" w:type="dxa"/>
          <w:tcBorders>
            <w:top w:val="single" w:sz="8" w:space="0" w:color="auto"/>
            <w:left w:val="nil"/>
            <w:bottom w:val="nil"/>
          </w:tcBorders>
        </w:tcPr>
        <w:p w14:paraId="134D35E9" w14:textId="078CA0C6" w:rsidR="00CB423E" w:rsidRPr="0092727B" w:rsidRDefault="00CB423E" w:rsidP="00CB423E">
          <w:pPr>
            <w:pStyle w:val="Footer"/>
            <w:tabs>
              <w:tab w:val="clear" w:pos="4320"/>
              <w:tab w:val="clear" w:pos="8640"/>
            </w:tabs>
          </w:pPr>
          <w:r w:rsidRPr="008063D3">
            <w:rPr>
              <w:b/>
              <w:bCs/>
            </w:rPr>
            <w:t>Email:</w:t>
          </w:r>
          <w:r>
            <w:t xml:space="preserve"> </w:t>
          </w:r>
        </w:p>
      </w:tc>
    </w:tr>
  </w:tbl>
  <w:p w14:paraId="432C306C"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B075" w14:textId="77777777" w:rsidR="00F837F6" w:rsidRDefault="00F837F6">
      <w:r>
        <w:separator/>
      </w:r>
    </w:p>
  </w:footnote>
  <w:footnote w:type="continuationSeparator" w:id="0">
    <w:p w14:paraId="4E555FB4" w14:textId="77777777" w:rsidR="00F837F6" w:rsidRDefault="00F837F6">
      <w:r>
        <w:continuationSeparator/>
      </w:r>
    </w:p>
  </w:footnote>
  <w:footnote w:id="1">
    <w:p w14:paraId="37DA2AF3" w14:textId="77777777" w:rsidR="001818D2" w:rsidRDefault="001818D2" w:rsidP="001818D2">
      <w:pPr>
        <w:pStyle w:val="FootnoteText"/>
      </w:pPr>
      <w:r>
        <w:rPr>
          <w:rStyle w:val="FootnoteReference"/>
        </w:rPr>
        <w:footnoteRef/>
      </w:r>
      <w:r>
        <w:t xml:space="preserve"> The term ‘APT View’ refers to Section 4 of this document and is not a document type ‘APT View’.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ACBF" w14:textId="77777777" w:rsidR="0097693B" w:rsidRDefault="0097693B" w:rsidP="0092727B">
    <w:pPr>
      <w:pStyle w:val="Header"/>
      <w:tabs>
        <w:tab w:val="clear" w:pos="4320"/>
        <w:tab w:val="clear" w:pos="8640"/>
      </w:tabs>
      <w:rPr>
        <w:lang w:eastAsia="ko-KR"/>
      </w:rPr>
    </w:pPr>
  </w:p>
  <w:p w14:paraId="7485F7B2"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BE89"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80"/>
    <w:multiLevelType w:val="hybridMultilevel"/>
    <w:tmpl w:val="43D22EA4"/>
    <w:lvl w:ilvl="0" w:tplc="04090001">
      <w:start w:val="1"/>
      <w:numFmt w:val="bullet"/>
      <w:lvlText w:val=""/>
      <w:lvlJc w:val="left"/>
      <w:pPr>
        <w:ind w:left="1129" w:hanging="420"/>
      </w:pPr>
      <w:rPr>
        <w:rFonts w:ascii="Symbol" w:hAnsi="Symbol" w:hint="default"/>
      </w:rPr>
    </w:lvl>
    <w:lvl w:ilvl="1" w:tplc="A634A498">
      <w:numFmt w:val="bullet"/>
      <w:lvlText w:val="•"/>
      <w:lvlJc w:val="left"/>
      <w:pPr>
        <w:ind w:left="1849" w:hanging="720"/>
      </w:pPr>
      <w:rPr>
        <w:rFonts w:ascii="MS Mincho" w:eastAsia="MS Mincho" w:hAnsi="MS Mincho" w:cs="Times New Roman" w:hint="eastAsia"/>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 w15:restartNumberingAfterBreak="0">
    <w:nsid w:val="02063ED5"/>
    <w:multiLevelType w:val="hybridMultilevel"/>
    <w:tmpl w:val="84AC2F7A"/>
    <w:lvl w:ilvl="0" w:tplc="B0426F7E">
      <w:start w:val="1"/>
      <w:numFmt w:val="bullet"/>
      <w:lvlText w:val="-"/>
      <w:lvlJc w:val="left"/>
      <w:pPr>
        <w:ind w:left="1440" w:hanging="360"/>
      </w:pPr>
      <w:rPr>
        <w:rFonts w:ascii="Calibri" w:eastAsiaTheme="minorEastAsia"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896527"/>
    <w:multiLevelType w:val="hybridMultilevel"/>
    <w:tmpl w:val="BCF23D34"/>
    <w:lvl w:ilvl="0" w:tplc="B0426F7E">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C61D16"/>
    <w:multiLevelType w:val="hybridMultilevel"/>
    <w:tmpl w:val="0C846184"/>
    <w:lvl w:ilvl="0" w:tplc="B0426F7E">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10D3251C"/>
    <w:multiLevelType w:val="multilevel"/>
    <w:tmpl w:val="B0BA80B0"/>
    <w:lvl w:ilvl="0">
      <w:start w:val="3"/>
      <w:numFmt w:val="bullet"/>
      <w:lvlText w:val="–"/>
      <w:lvlJc w:val="left"/>
      <w:pPr>
        <w:ind w:left="360" w:hanging="360"/>
      </w:pPr>
      <w:rPr>
        <w:rFonts w:ascii="Calibri" w:eastAsia="SimSun" w:hAnsi="Calibri" w:cstheme="minorBid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64870DE"/>
    <w:multiLevelType w:val="hybridMultilevel"/>
    <w:tmpl w:val="9266D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2497039"/>
    <w:multiLevelType w:val="hybridMultilevel"/>
    <w:tmpl w:val="0E728F6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C77689"/>
    <w:multiLevelType w:val="hybridMultilevel"/>
    <w:tmpl w:val="678AA168"/>
    <w:lvl w:ilvl="0" w:tplc="8E4C91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476F54"/>
    <w:multiLevelType w:val="hybridMultilevel"/>
    <w:tmpl w:val="AFF00226"/>
    <w:lvl w:ilvl="0" w:tplc="9404E55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9005A4"/>
    <w:multiLevelType w:val="multilevel"/>
    <w:tmpl w:val="2E9005A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9" w15:restartNumberingAfterBreak="0">
    <w:nsid w:val="31D85BF5"/>
    <w:multiLevelType w:val="hybridMultilevel"/>
    <w:tmpl w:val="3F1A14B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B7AA9F40">
      <w:start w:val="1"/>
      <w:numFmt w:val="bullet"/>
      <w:lvlText w:val="-"/>
      <w:lvlJc w:val="left"/>
      <w:pPr>
        <w:ind w:left="1120" w:hanging="400"/>
      </w:pPr>
      <w:rPr>
        <w:rFonts w:ascii="Times New Roman" w:eastAsiaTheme="minorEastAsia" w:hAnsi="Times New Roman" w:cs="Times New Roman"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0" w15:restartNumberingAfterBreak="0">
    <w:nsid w:val="35D02283"/>
    <w:multiLevelType w:val="hybridMultilevel"/>
    <w:tmpl w:val="BA7814AE"/>
    <w:lvl w:ilvl="0" w:tplc="D93EB5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393D0D7B"/>
    <w:multiLevelType w:val="hybridMultilevel"/>
    <w:tmpl w:val="984E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E1A4D"/>
    <w:multiLevelType w:val="hybridMultilevel"/>
    <w:tmpl w:val="D4E849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5" w15:restartNumberingAfterBreak="0">
    <w:nsid w:val="42DA6E66"/>
    <w:multiLevelType w:val="hybridMultilevel"/>
    <w:tmpl w:val="269E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D146F2"/>
    <w:multiLevelType w:val="hybridMultilevel"/>
    <w:tmpl w:val="E0EE8430"/>
    <w:lvl w:ilvl="0" w:tplc="4BDCB9B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3932CB"/>
    <w:multiLevelType w:val="hybridMultilevel"/>
    <w:tmpl w:val="95961A8A"/>
    <w:lvl w:ilvl="0" w:tplc="BA6AFD1E">
      <w:start w:val="3"/>
      <w:numFmt w:val="bullet"/>
      <w:lvlText w:val="–"/>
      <w:lvlJc w:val="left"/>
      <w:pPr>
        <w:ind w:left="1440" w:hanging="360"/>
      </w:pPr>
      <w:rPr>
        <w:rFonts w:ascii="Calibri" w:eastAsia="SimSun"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C2422F"/>
    <w:multiLevelType w:val="hybridMultilevel"/>
    <w:tmpl w:val="CB565100"/>
    <w:lvl w:ilvl="0" w:tplc="9836CE3E">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D819CD"/>
    <w:multiLevelType w:val="hybridMultilevel"/>
    <w:tmpl w:val="2F462030"/>
    <w:lvl w:ilvl="0" w:tplc="2C261B14">
      <w:numFmt w:val="bullet"/>
      <w:lvlText w:val="•"/>
      <w:lvlJc w:val="left"/>
      <w:pPr>
        <w:ind w:left="1500" w:hanging="1140"/>
      </w:pPr>
      <w:rPr>
        <w:rFonts w:ascii="MS Mincho" w:eastAsia="MS Mincho" w:hAnsi="MS Mincho"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C4958"/>
    <w:multiLevelType w:val="hybridMultilevel"/>
    <w:tmpl w:val="075CD20E"/>
    <w:lvl w:ilvl="0" w:tplc="B7AA9F4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5" w15:restartNumberingAfterBreak="0">
    <w:nsid w:val="726278E8"/>
    <w:multiLevelType w:val="hybridMultilevel"/>
    <w:tmpl w:val="7110D7FA"/>
    <w:lvl w:ilvl="0" w:tplc="B0426F7E">
      <w:start w:val="1"/>
      <w:numFmt w:val="bullet"/>
      <w:lvlText w:val="-"/>
      <w:lvlJc w:val="left"/>
      <w:pPr>
        <w:ind w:left="1440" w:hanging="360"/>
      </w:pPr>
      <w:rPr>
        <w:rFonts w:ascii="Calibri" w:eastAsiaTheme="minorEastAsia" w:hAnsi="Calibri" w:cs="Calibri" w:hint="default"/>
      </w:rPr>
    </w:lvl>
    <w:lvl w:ilvl="1" w:tplc="B0426F7E">
      <w:start w:val="1"/>
      <w:numFmt w:val="bullet"/>
      <w:lvlText w:val="-"/>
      <w:lvlJc w:val="left"/>
      <w:pPr>
        <w:ind w:left="360" w:hanging="360"/>
      </w:pPr>
      <w:rPr>
        <w:rFonts w:ascii="Calibri" w:eastAsiaTheme="minorEastAsia"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7"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59E0B96"/>
    <w:multiLevelType w:val="hybridMultilevel"/>
    <w:tmpl w:val="3410D944"/>
    <w:lvl w:ilvl="0" w:tplc="06E0240E">
      <w:numFmt w:val="bullet"/>
      <w:lvlText w:val="-"/>
      <w:lvlJc w:val="left"/>
      <w:pPr>
        <w:ind w:left="440" w:hanging="440"/>
      </w:pPr>
      <w:rPr>
        <w:rFonts w:ascii="Arial" w:eastAsiaTheme="minorHAnsi"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77973512"/>
    <w:multiLevelType w:val="hybridMultilevel"/>
    <w:tmpl w:val="318AF72A"/>
    <w:lvl w:ilvl="0" w:tplc="BA6AFD1E">
      <w:start w:val="3"/>
      <w:numFmt w:val="bullet"/>
      <w:lvlText w:val="–"/>
      <w:lvlJc w:val="left"/>
      <w:pPr>
        <w:ind w:left="720" w:hanging="360"/>
      </w:pPr>
      <w:rPr>
        <w:rFonts w:ascii="Calibri" w:eastAsia="SimSun" w:hAnsi="Calibri" w:cstheme="minorBidi" w:hint="default"/>
      </w:rPr>
    </w:lvl>
    <w:lvl w:ilvl="1" w:tplc="AB16ECE0">
      <w:numFmt w:val="bullet"/>
      <w:lvlText w:val="•"/>
      <w:lvlJc w:val="left"/>
      <w:pPr>
        <w:ind w:left="1440" w:hanging="360"/>
      </w:pPr>
      <w:rPr>
        <w:rFonts w:ascii="BatangChe" w:eastAsia="BatangChe" w:hAnsi="BatangChe"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41"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2" w15:restartNumberingAfterBreak="0">
    <w:nsid w:val="7F792B95"/>
    <w:multiLevelType w:val="hybridMultilevel"/>
    <w:tmpl w:val="62A48642"/>
    <w:lvl w:ilvl="0" w:tplc="4BDCB9B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90849616">
    <w:abstractNumId w:val="21"/>
  </w:num>
  <w:num w:numId="2" w16cid:durableId="514196343">
    <w:abstractNumId w:val="14"/>
  </w:num>
  <w:num w:numId="3" w16cid:durableId="2130582062">
    <w:abstractNumId w:val="10"/>
  </w:num>
  <w:num w:numId="4" w16cid:durableId="103497654">
    <w:abstractNumId w:val="34"/>
  </w:num>
  <w:num w:numId="5" w16cid:durableId="313411484">
    <w:abstractNumId w:val="18"/>
  </w:num>
  <w:num w:numId="6" w16cid:durableId="595556403">
    <w:abstractNumId w:val="22"/>
  </w:num>
  <w:num w:numId="7" w16cid:durableId="957562361">
    <w:abstractNumId w:val="8"/>
  </w:num>
  <w:num w:numId="8" w16cid:durableId="715666559">
    <w:abstractNumId w:val="5"/>
  </w:num>
  <w:num w:numId="9" w16cid:durableId="107314286">
    <w:abstractNumId w:val="40"/>
  </w:num>
  <w:num w:numId="10" w16cid:durableId="1113860408">
    <w:abstractNumId w:val="29"/>
  </w:num>
  <w:num w:numId="11" w16cid:durableId="638725835">
    <w:abstractNumId w:val="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2577109">
    <w:abstractNumId w:val="26"/>
  </w:num>
  <w:num w:numId="13" w16cid:durableId="1952516386">
    <w:abstractNumId w:val="2"/>
  </w:num>
  <w:num w:numId="14" w16cid:durableId="9776908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4787095">
    <w:abstractNumId w:val="15"/>
  </w:num>
  <w:num w:numId="16" w16cid:durableId="705644172">
    <w:abstractNumId w:val="41"/>
  </w:num>
  <w:num w:numId="17" w16cid:durableId="1151677342">
    <w:abstractNumId w:val="28"/>
  </w:num>
  <w:num w:numId="18" w16cid:durableId="1161117944">
    <w:abstractNumId w:val="24"/>
  </w:num>
  <w:num w:numId="19" w16cid:durableId="928273754">
    <w:abstractNumId w:val="37"/>
  </w:num>
  <w:num w:numId="20" w16cid:durableId="798956261">
    <w:abstractNumId w:val="17"/>
  </w:num>
  <w:num w:numId="21" w16cid:durableId="1427650766">
    <w:abstractNumId w:val="36"/>
  </w:num>
  <w:num w:numId="22" w16cid:durableId="22367411">
    <w:abstractNumId w:val="43"/>
  </w:num>
  <w:num w:numId="23" w16cid:durableId="1968269602">
    <w:abstractNumId w:val="31"/>
  </w:num>
  <w:num w:numId="24" w16cid:durableId="1460033490">
    <w:abstractNumId w:val="33"/>
  </w:num>
  <w:num w:numId="25" w16cid:durableId="523054718">
    <w:abstractNumId w:val="19"/>
  </w:num>
  <w:num w:numId="26" w16cid:durableId="1972468593">
    <w:abstractNumId w:val="39"/>
  </w:num>
  <w:num w:numId="27" w16cid:durableId="7137771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8924218">
    <w:abstractNumId w:val="6"/>
  </w:num>
  <w:num w:numId="29" w16cid:durableId="956567022">
    <w:abstractNumId w:val="30"/>
  </w:num>
  <w:num w:numId="30" w16cid:durableId="552078344">
    <w:abstractNumId w:val="1"/>
  </w:num>
  <w:num w:numId="31" w16cid:durableId="283342765">
    <w:abstractNumId w:val="35"/>
  </w:num>
  <w:num w:numId="32" w16cid:durableId="737173347">
    <w:abstractNumId w:val="3"/>
  </w:num>
  <w:num w:numId="33" w16cid:durableId="1055157830">
    <w:abstractNumId w:val="4"/>
  </w:num>
  <w:num w:numId="34" w16cid:durableId="1834175504">
    <w:abstractNumId w:val="27"/>
  </w:num>
  <w:num w:numId="35" w16cid:durableId="1375354282">
    <w:abstractNumId w:val="42"/>
  </w:num>
  <w:num w:numId="36" w16cid:durableId="592978903">
    <w:abstractNumId w:val="39"/>
  </w:num>
  <w:num w:numId="37" w16cid:durableId="50739101">
    <w:abstractNumId w:val="20"/>
  </w:num>
  <w:num w:numId="38" w16cid:durableId="918251885">
    <w:abstractNumId w:val="23"/>
  </w:num>
  <w:num w:numId="39" w16cid:durableId="1893420930">
    <w:abstractNumId w:val="32"/>
  </w:num>
  <w:num w:numId="40" w16cid:durableId="1813327713">
    <w:abstractNumId w:val="11"/>
  </w:num>
  <w:num w:numId="41" w16cid:durableId="1024405614">
    <w:abstractNumId w:val="0"/>
  </w:num>
  <w:num w:numId="42" w16cid:durableId="26224013">
    <w:abstractNumId w:val="25"/>
  </w:num>
  <w:num w:numId="43" w16cid:durableId="67463877">
    <w:abstractNumId w:val="13"/>
  </w:num>
  <w:num w:numId="44" w16cid:durableId="383066130">
    <w:abstractNumId w:val="7"/>
  </w:num>
  <w:num w:numId="45" w16cid:durableId="692220846">
    <w:abstractNumId w:val="3"/>
  </w:num>
  <w:num w:numId="46" w16cid:durableId="1920169355">
    <w:abstractNumId w:val="12"/>
  </w:num>
  <w:num w:numId="47" w16cid:durableId="1827210121">
    <w:abstractNumId w:val="38"/>
  </w:num>
  <w:num w:numId="48" w16cid:durableId="10680406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NZ"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44B8"/>
    <w:rsid w:val="00010C8E"/>
    <w:rsid w:val="000114A0"/>
    <w:rsid w:val="00013262"/>
    <w:rsid w:val="0003595B"/>
    <w:rsid w:val="00035C24"/>
    <w:rsid w:val="00036144"/>
    <w:rsid w:val="00036517"/>
    <w:rsid w:val="00036CC9"/>
    <w:rsid w:val="00040149"/>
    <w:rsid w:val="00050B9F"/>
    <w:rsid w:val="00051C6E"/>
    <w:rsid w:val="000612C8"/>
    <w:rsid w:val="000663B9"/>
    <w:rsid w:val="00070464"/>
    <w:rsid w:val="00070642"/>
    <w:rsid w:val="000713CF"/>
    <w:rsid w:val="00075C14"/>
    <w:rsid w:val="000822B5"/>
    <w:rsid w:val="00094B87"/>
    <w:rsid w:val="00096B24"/>
    <w:rsid w:val="000A012B"/>
    <w:rsid w:val="000A5418"/>
    <w:rsid w:val="000A726A"/>
    <w:rsid w:val="000B138F"/>
    <w:rsid w:val="000B2035"/>
    <w:rsid w:val="000C1D7E"/>
    <w:rsid w:val="000D38B5"/>
    <w:rsid w:val="000D47FB"/>
    <w:rsid w:val="000D5281"/>
    <w:rsid w:val="000D534A"/>
    <w:rsid w:val="000E0739"/>
    <w:rsid w:val="000E1B62"/>
    <w:rsid w:val="000E31F8"/>
    <w:rsid w:val="000F345F"/>
    <w:rsid w:val="000F517C"/>
    <w:rsid w:val="000F5540"/>
    <w:rsid w:val="000F5D03"/>
    <w:rsid w:val="00102C75"/>
    <w:rsid w:val="00105F1A"/>
    <w:rsid w:val="001135D4"/>
    <w:rsid w:val="0012180F"/>
    <w:rsid w:val="00122467"/>
    <w:rsid w:val="001238B2"/>
    <w:rsid w:val="0012500E"/>
    <w:rsid w:val="00125B7D"/>
    <w:rsid w:val="00125F54"/>
    <w:rsid w:val="00125FBD"/>
    <w:rsid w:val="00134569"/>
    <w:rsid w:val="00134CB5"/>
    <w:rsid w:val="001409B2"/>
    <w:rsid w:val="00144B50"/>
    <w:rsid w:val="00145EB2"/>
    <w:rsid w:val="001462E8"/>
    <w:rsid w:val="00152636"/>
    <w:rsid w:val="001539DD"/>
    <w:rsid w:val="00156288"/>
    <w:rsid w:val="00156782"/>
    <w:rsid w:val="001570BC"/>
    <w:rsid w:val="00164231"/>
    <w:rsid w:val="00165F01"/>
    <w:rsid w:val="001731F4"/>
    <w:rsid w:val="001818D2"/>
    <w:rsid w:val="0018336A"/>
    <w:rsid w:val="00191408"/>
    <w:rsid w:val="001916F2"/>
    <w:rsid w:val="001930A7"/>
    <w:rsid w:val="00196568"/>
    <w:rsid w:val="00197C18"/>
    <w:rsid w:val="001A2F16"/>
    <w:rsid w:val="001B1804"/>
    <w:rsid w:val="001B18C2"/>
    <w:rsid w:val="001B55A0"/>
    <w:rsid w:val="001B7294"/>
    <w:rsid w:val="001C1ED8"/>
    <w:rsid w:val="001C443F"/>
    <w:rsid w:val="001C6114"/>
    <w:rsid w:val="001C61A5"/>
    <w:rsid w:val="001C6707"/>
    <w:rsid w:val="001D5D7E"/>
    <w:rsid w:val="001D714D"/>
    <w:rsid w:val="001E35DE"/>
    <w:rsid w:val="001E6271"/>
    <w:rsid w:val="001F5947"/>
    <w:rsid w:val="001F7E84"/>
    <w:rsid w:val="00202410"/>
    <w:rsid w:val="00207012"/>
    <w:rsid w:val="00213947"/>
    <w:rsid w:val="00214236"/>
    <w:rsid w:val="0021495E"/>
    <w:rsid w:val="00214A0C"/>
    <w:rsid w:val="0021588B"/>
    <w:rsid w:val="002161B6"/>
    <w:rsid w:val="00216CCF"/>
    <w:rsid w:val="002216AC"/>
    <w:rsid w:val="00227339"/>
    <w:rsid w:val="0023212E"/>
    <w:rsid w:val="00242A07"/>
    <w:rsid w:val="002475E2"/>
    <w:rsid w:val="00250193"/>
    <w:rsid w:val="002506D2"/>
    <w:rsid w:val="00250DE2"/>
    <w:rsid w:val="00254A1B"/>
    <w:rsid w:val="00256326"/>
    <w:rsid w:val="00256ECE"/>
    <w:rsid w:val="0026001F"/>
    <w:rsid w:val="0026064A"/>
    <w:rsid w:val="00264566"/>
    <w:rsid w:val="002656F2"/>
    <w:rsid w:val="00270B23"/>
    <w:rsid w:val="0027131C"/>
    <w:rsid w:val="00281254"/>
    <w:rsid w:val="00281279"/>
    <w:rsid w:val="0028307C"/>
    <w:rsid w:val="0028454D"/>
    <w:rsid w:val="00291C9E"/>
    <w:rsid w:val="002926D4"/>
    <w:rsid w:val="0029734E"/>
    <w:rsid w:val="002A0111"/>
    <w:rsid w:val="002A3CF5"/>
    <w:rsid w:val="002B06A3"/>
    <w:rsid w:val="002B435C"/>
    <w:rsid w:val="002B447F"/>
    <w:rsid w:val="002C0136"/>
    <w:rsid w:val="002C07DA"/>
    <w:rsid w:val="002C2A49"/>
    <w:rsid w:val="002C3578"/>
    <w:rsid w:val="002C7EA9"/>
    <w:rsid w:val="002D5403"/>
    <w:rsid w:val="002D6E81"/>
    <w:rsid w:val="002F575D"/>
    <w:rsid w:val="003020F2"/>
    <w:rsid w:val="003036F8"/>
    <w:rsid w:val="00305220"/>
    <w:rsid w:val="003113D7"/>
    <w:rsid w:val="00311E8A"/>
    <w:rsid w:val="00326F7D"/>
    <w:rsid w:val="00331AD0"/>
    <w:rsid w:val="00332BA9"/>
    <w:rsid w:val="003402DA"/>
    <w:rsid w:val="00342F20"/>
    <w:rsid w:val="00343842"/>
    <w:rsid w:val="00343BF4"/>
    <w:rsid w:val="0034532A"/>
    <w:rsid w:val="0034645D"/>
    <w:rsid w:val="00353BB9"/>
    <w:rsid w:val="00360377"/>
    <w:rsid w:val="0036232A"/>
    <w:rsid w:val="00366548"/>
    <w:rsid w:val="0038005B"/>
    <w:rsid w:val="003809C7"/>
    <w:rsid w:val="0038236C"/>
    <w:rsid w:val="0039233A"/>
    <w:rsid w:val="00393DCD"/>
    <w:rsid w:val="00395B40"/>
    <w:rsid w:val="003A2006"/>
    <w:rsid w:val="003A6568"/>
    <w:rsid w:val="003B4FD1"/>
    <w:rsid w:val="003B6263"/>
    <w:rsid w:val="003C29E6"/>
    <w:rsid w:val="003C4ABF"/>
    <w:rsid w:val="003C64A7"/>
    <w:rsid w:val="003D1128"/>
    <w:rsid w:val="003D1671"/>
    <w:rsid w:val="003D3D47"/>
    <w:rsid w:val="003D3FDA"/>
    <w:rsid w:val="003D6D00"/>
    <w:rsid w:val="003E166F"/>
    <w:rsid w:val="003E4DF7"/>
    <w:rsid w:val="003F21E2"/>
    <w:rsid w:val="003F307E"/>
    <w:rsid w:val="003F58A9"/>
    <w:rsid w:val="004001E5"/>
    <w:rsid w:val="00403224"/>
    <w:rsid w:val="00407330"/>
    <w:rsid w:val="00407B5F"/>
    <w:rsid w:val="004112C7"/>
    <w:rsid w:val="0041313C"/>
    <w:rsid w:val="00420822"/>
    <w:rsid w:val="00420C74"/>
    <w:rsid w:val="00421835"/>
    <w:rsid w:val="00425E4A"/>
    <w:rsid w:val="00441526"/>
    <w:rsid w:val="004465AA"/>
    <w:rsid w:val="00446A5E"/>
    <w:rsid w:val="00453674"/>
    <w:rsid w:val="0045458F"/>
    <w:rsid w:val="0046265B"/>
    <w:rsid w:val="004633B4"/>
    <w:rsid w:val="004649DD"/>
    <w:rsid w:val="00476B0E"/>
    <w:rsid w:val="00485532"/>
    <w:rsid w:val="00493530"/>
    <w:rsid w:val="0049433D"/>
    <w:rsid w:val="00495CED"/>
    <w:rsid w:val="004A2F96"/>
    <w:rsid w:val="004A4BDF"/>
    <w:rsid w:val="004A7138"/>
    <w:rsid w:val="004A74A0"/>
    <w:rsid w:val="004B3553"/>
    <w:rsid w:val="004B3F4B"/>
    <w:rsid w:val="004B4C51"/>
    <w:rsid w:val="004B717A"/>
    <w:rsid w:val="004D32C4"/>
    <w:rsid w:val="004D6DB0"/>
    <w:rsid w:val="004E1FCA"/>
    <w:rsid w:val="004E2C1D"/>
    <w:rsid w:val="004E47D6"/>
    <w:rsid w:val="004E7DB5"/>
    <w:rsid w:val="004F07B4"/>
    <w:rsid w:val="004F46D1"/>
    <w:rsid w:val="00502461"/>
    <w:rsid w:val="005025C1"/>
    <w:rsid w:val="00502CFA"/>
    <w:rsid w:val="00503189"/>
    <w:rsid w:val="00516BD1"/>
    <w:rsid w:val="005206E9"/>
    <w:rsid w:val="005211E1"/>
    <w:rsid w:val="00521623"/>
    <w:rsid w:val="005219B7"/>
    <w:rsid w:val="00525D1F"/>
    <w:rsid w:val="00526D01"/>
    <w:rsid w:val="00530E8C"/>
    <w:rsid w:val="005321C3"/>
    <w:rsid w:val="00535D34"/>
    <w:rsid w:val="00543C41"/>
    <w:rsid w:val="00545933"/>
    <w:rsid w:val="005479D8"/>
    <w:rsid w:val="00552105"/>
    <w:rsid w:val="00552F8D"/>
    <w:rsid w:val="005562F2"/>
    <w:rsid w:val="00557544"/>
    <w:rsid w:val="00565BBB"/>
    <w:rsid w:val="00571B26"/>
    <w:rsid w:val="00571F9E"/>
    <w:rsid w:val="00585F3C"/>
    <w:rsid w:val="00586CA0"/>
    <w:rsid w:val="00587875"/>
    <w:rsid w:val="005A4A73"/>
    <w:rsid w:val="005A63EB"/>
    <w:rsid w:val="005A6999"/>
    <w:rsid w:val="005B0876"/>
    <w:rsid w:val="005C33B6"/>
    <w:rsid w:val="005D6202"/>
    <w:rsid w:val="005D6E98"/>
    <w:rsid w:val="005D7D2C"/>
    <w:rsid w:val="005E0438"/>
    <w:rsid w:val="005E5743"/>
    <w:rsid w:val="005F093A"/>
    <w:rsid w:val="005F3D76"/>
    <w:rsid w:val="005F41AD"/>
    <w:rsid w:val="00601FEF"/>
    <w:rsid w:val="006037CC"/>
    <w:rsid w:val="0060708F"/>
    <w:rsid w:val="00607E2B"/>
    <w:rsid w:val="00612C87"/>
    <w:rsid w:val="006139D6"/>
    <w:rsid w:val="00616D1B"/>
    <w:rsid w:val="00617454"/>
    <w:rsid w:val="00617ADE"/>
    <w:rsid w:val="00620AA1"/>
    <w:rsid w:val="00623CE1"/>
    <w:rsid w:val="00625D6C"/>
    <w:rsid w:val="00626D9A"/>
    <w:rsid w:val="00627880"/>
    <w:rsid w:val="0063062B"/>
    <w:rsid w:val="00634A82"/>
    <w:rsid w:val="00636604"/>
    <w:rsid w:val="00637351"/>
    <w:rsid w:val="00641DF2"/>
    <w:rsid w:val="0064357B"/>
    <w:rsid w:val="00644E8C"/>
    <w:rsid w:val="00646166"/>
    <w:rsid w:val="006461AC"/>
    <w:rsid w:val="006521AE"/>
    <w:rsid w:val="00652633"/>
    <w:rsid w:val="00652BDD"/>
    <w:rsid w:val="00654896"/>
    <w:rsid w:val="006621F0"/>
    <w:rsid w:val="00662AED"/>
    <w:rsid w:val="006647BA"/>
    <w:rsid w:val="00667229"/>
    <w:rsid w:val="00682BE5"/>
    <w:rsid w:val="00683846"/>
    <w:rsid w:val="00687D20"/>
    <w:rsid w:val="00690FED"/>
    <w:rsid w:val="006939A5"/>
    <w:rsid w:val="006A5B36"/>
    <w:rsid w:val="006B09DB"/>
    <w:rsid w:val="006B3FF4"/>
    <w:rsid w:val="006D368C"/>
    <w:rsid w:val="006D4B52"/>
    <w:rsid w:val="006D5223"/>
    <w:rsid w:val="006D5970"/>
    <w:rsid w:val="006D67FF"/>
    <w:rsid w:val="006D6C5A"/>
    <w:rsid w:val="006E12FC"/>
    <w:rsid w:val="006E1AF1"/>
    <w:rsid w:val="006E590A"/>
    <w:rsid w:val="006E695D"/>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34A32"/>
    <w:rsid w:val="0074190C"/>
    <w:rsid w:val="0074416A"/>
    <w:rsid w:val="00752089"/>
    <w:rsid w:val="007543D8"/>
    <w:rsid w:val="0075493D"/>
    <w:rsid w:val="00762576"/>
    <w:rsid w:val="00764DD2"/>
    <w:rsid w:val="00764F52"/>
    <w:rsid w:val="007673CA"/>
    <w:rsid w:val="007770C3"/>
    <w:rsid w:val="00791060"/>
    <w:rsid w:val="007926EA"/>
    <w:rsid w:val="007A2A18"/>
    <w:rsid w:val="007B5626"/>
    <w:rsid w:val="007B6124"/>
    <w:rsid w:val="007C78AE"/>
    <w:rsid w:val="007D3C53"/>
    <w:rsid w:val="007E3A0F"/>
    <w:rsid w:val="007E61C6"/>
    <w:rsid w:val="007F0AE6"/>
    <w:rsid w:val="007F2628"/>
    <w:rsid w:val="007F2FBA"/>
    <w:rsid w:val="007F354A"/>
    <w:rsid w:val="007F51CA"/>
    <w:rsid w:val="008003C1"/>
    <w:rsid w:val="00800C3A"/>
    <w:rsid w:val="00802070"/>
    <w:rsid w:val="0080570B"/>
    <w:rsid w:val="0081099B"/>
    <w:rsid w:val="0081231D"/>
    <w:rsid w:val="008138E8"/>
    <w:rsid w:val="008148E1"/>
    <w:rsid w:val="008211E4"/>
    <w:rsid w:val="00822B33"/>
    <w:rsid w:val="00822C0E"/>
    <w:rsid w:val="00823AE7"/>
    <w:rsid w:val="008319BF"/>
    <w:rsid w:val="008415F0"/>
    <w:rsid w:val="00842016"/>
    <w:rsid w:val="008433C2"/>
    <w:rsid w:val="00844072"/>
    <w:rsid w:val="00844457"/>
    <w:rsid w:val="008454C8"/>
    <w:rsid w:val="00851D78"/>
    <w:rsid w:val="00857B9B"/>
    <w:rsid w:val="008609BB"/>
    <w:rsid w:val="00860F1C"/>
    <w:rsid w:val="0086592B"/>
    <w:rsid w:val="0087122A"/>
    <w:rsid w:val="00880A0E"/>
    <w:rsid w:val="0088465E"/>
    <w:rsid w:val="00894DA9"/>
    <w:rsid w:val="008A016F"/>
    <w:rsid w:val="008A1473"/>
    <w:rsid w:val="008A1A0D"/>
    <w:rsid w:val="008A1C0A"/>
    <w:rsid w:val="008A211E"/>
    <w:rsid w:val="008A2585"/>
    <w:rsid w:val="008A72E1"/>
    <w:rsid w:val="008A76ED"/>
    <w:rsid w:val="008B3C72"/>
    <w:rsid w:val="008B79B3"/>
    <w:rsid w:val="008C2060"/>
    <w:rsid w:val="008C31E2"/>
    <w:rsid w:val="008C5113"/>
    <w:rsid w:val="008C5DF2"/>
    <w:rsid w:val="008C5FED"/>
    <w:rsid w:val="008D0E09"/>
    <w:rsid w:val="008E4676"/>
    <w:rsid w:val="008F1BAD"/>
    <w:rsid w:val="008F3B16"/>
    <w:rsid w:val="008F402C"/>
    <w:rsid w:val="008F6E99"/>
    <w:rsid w:val="00901474"/>
    <w:rsid w:val="00903007"/>
    <w:rsid w:val="00903404"/>
    <w:rsid w:val="00910A1B"/>
    <w:rsid w:val="00910DD1"/>
    <w:rsid w:val="00913959"/>
    <w:rsid w:val="00923816"/>
    <w:rsid w:val="0092727B"/>
    <w:rsid w:val="0093074B"/>
    <w:rsid w:val="00930E64"/>
    <w:rsid w:val="00931829"/>
    <w:rsid w:val="009359C7"/>
    <w:rsid w:val="00941CB3"/>
    <w:rsid w:val="00943CF9"/>
    <w:rsid w:val="00944BAF"/>
    <w:rsid w:val="00947046"/>
    <w:rsid w:val="009505CE"/>
    <w:rsid w:val="00956F8C"/>
    <w:rsid w:val="00961D57"/>
    <w:rsid w:val="00972CFE"/>
    <w:rsid w:val="0097316C"/>
    <w:rsid w:val="00976716"/>
    <w:rsid w:val="0097693B"/>
    <w:rsid w:val="00977264"/>
    <w:rsid w:val="00987EE7"/>
    <w:rsid w:val="00991C4E"/>
    <w:rsid w:val="00993355"/>
    <w:rsid w:val="00993396"/>
    <w:rsid w:val="009963F7"/>
    <w:rsid w:val="009A11CB"/>
    <w:rsid w:val="009A19ED"/>
    <w:rsid w:val="009A2B1A"/>
    <w:rsid w:val="009A4A6D"/>
    <w:rsid w:val="009B434B"/>
    <w:rsid w:val="009B44DD"/>
    <w:rsid w:val="009B5988"/>
    <w:rsid w:val="009B6659"/>
    <w:rsid w:val="009B7E42"/>
    <w:rsid w:val="009C5E09"/>
    <w:rsid w:val="009C7235"/>
    <w:rsid w:val="009D46CE"/>
    <w:rsid w:val="009D4ADA"/>
    <w:rsid w:val="009D7357"/>
    <w:rsid w:val="009E13DD"/>
    <w:rsid w:val="009E1DBF"/>
    <w:rsid w:val="009E2A8B"/>
    <w:rsid w:val="009F2CCB"/>
    <w:rsid w:val="009F547A"/>
    <w:rsid w:val="00A00027"/>
    <w:rsid w:val="00A01A8D"/>
    <w:rsid w:val="00A0240F"/>
    <w:rsid w:val="00A03D78"/>
    <w:rsid w:val="00A0503B"/>
    <w:rsid w:val="00A059CD"/>
    <w:rsid w:val="00A13265"/>
    <w:rsid w:val="00A14900"/>
    <w:rsid w:val="00A174DE"/>
    <w:rsid w:val="00A17E76"/>
    <w:rsid w:val="00A2159F"/>
    <w:rsid w:val="00A23C16"/>
    <w:rsid w:val="00A324FF"/>
    <w:rsid w:val="00A334BA"/>
    <w:rsid w:val="00A34BC6"/>
    <w:rsid w:val="00A35FF5"/>
    <w:rsid w:val="00A529BC"/>
    <w:rsid w:val="00A5346C"/>
    <w:rsid w:val="00A53F51"/>
    <w:rsid w:val="00A560C6"/>
    <w:rsid w:val="00A562F0"/>
    <w:rsid w:val="00A564FB"/>
    <w:rsid w:val="00A614C1"/>
    <w:rsid w:val="00A61EA6"/>
    <w:rsid w:val="00A64DF3"/>
    <w:rsid w:val="00A657BF"/>
    <w:rsid w:val="00A66879"/>
    <w:rsid w:val="00A700A8"/>
    <w:rsid w:val="00A71136"/>
    <w:rsid w:val="00A7677B"/>
    <w:rsid w:val="00A92578"/>
    <w:rsid w:val="00A9497F"/>
    <w:rsid w:val="00AA474C"/>
    <w:rsid w:val="00AB542F"/>
    <w:rsid w:val="00AC1109"/>
    <w:rsid w:val="00AC35EF"/>
    <w:rsid w:val="00AC4D5B"/>
    <w:rsid w:val="00AD1417"/>
    <w:rsid w:val="00AD1DDB"/>
    <w:rsid w:val="00AD2697"/>
    <w:rsid w:val="00AD7E5F"/>
    <w:rsid w:val="00AE1374"/>
    <w:rsid w:val="00AE2CE4"/>
    <w:rsid w:val="00AE3066"/>
    <w:rsid w:val="00AE3CEA"/>
    <w:rsid w:val="00AE7693"/>
    <w:rsid w:val="00AF0F1A"/>
    <w:rsid w:val="00AF68E4"/>
    <w:rsid w:val="00B0050B"/>
    <w:rsid w:val="00B00A87"/>
    <w:rsid w:val="00B01AA1"/>
    <w:rsid w:val="00B06025"/>
    <w:rsid w:val="00B114EB"/>
    <w:rsid w:val="00B14DA9"/>
    <w:rsid w:val="00B200EB"/>
    <w:rsid w:val="00B30C81"/>
    <w:rsid w:val="00B30DA1"/>
    <w:rsid w:val="00B35574"/>
    <w:rsid w:val="00B41B6D"/>
    <w:rsid w:val="00B467D3"/>
    <w:rsid w:val="00B4793B"/>
    <w:rsid w:val="00B520B1"/>
    <w:rsid w:val="00B523DD"/>
    <w:rsid w:val="00B56099"/>
    <w:rsid w:val="00B64A60"/>
    <w:rsid w:val="00B64FF6"/>
    <w:rsid w:val="00B661AC"/>
    <w:rsid w:val="00B8468D"/>
    <w:rsid w:val="00B84FCC"/>
    <w:rsid w:val="00B929E9"/>
    <w:rsid w:val="00B937D7"/>
    <w:rsid w:val="00B94B44"/>
    <w:rsid w:val="00B96B67"/>
    <w:rsid w:val="00BA65D2"/>
    <w:rsid w:val="00BB0EA4"/>
    <w:rsid w:val="00BB6405"/>
    <w:rsid w:val="00BC57EF"/>
    <w:rsid w:val="00BC69DB"/>
    <w:rsid w:val="00BD2C7C"/>
    <w:rsid w:val="00BD5C7F"/>
    <w:rsid w:val="00BE2D63"/>
    <w:rsid w:val="00BE6969"/>
    <w:rsid w:val="00BE6B6B"/>
    <w:rsid w:val="00BF04B5"/>
    <w:rsid w:val="00BF25F9"/>
    <w:rsid w:val="00BF29F3"/>
    <w:rsid w:val="00BF5BF1"/>
    <w:rsid w:val="00C00B04"/>
    <w:rsid w:val="00C053F7"/>
    <w:rsid w:val="00C13FD5"/>
    <w:rsid w:val="00C15633"/>
    <w:rsid w:val="00C15799"/>
    <w:rsid w:val="00C20ACE"/>
    <w:rsid w:val="00C21330"/>
    <w:rsid w:val="00C25598"/>
    <w:rsid w:val="00C255EF"/>
    <w:rsid w:val="00C25733"/>
    <w:rsid w:val="00C32C04"/>
    <w:rsid w:val="00C32E84"/>
    <w:rsid w:val="00C35415"/>
    <w:rsid w:val="00C357AD"/>
    <w:rsid w:val="00C361EC"/>
    <w:rsid w:val="00C4112C"/>
    <w:rsid w:val="00C43B03"/>
    <w:rsid w:val="00C516C7"/>
    <w:rsid w:val="00C51C5F"/>
    <w:rsid w:val="00C5328F"/>
    <w:rsid w:val="00C53F85"/>
    <w:rsid w:val="00C5453C"/>
    <w:rsid w:val="00C554CC"/>
    <w:rsid w:val="00C6069C"/>
    <w:rsid w:val="00C70477"/>
    <w:rsid w:val="00C72052"/>
    <w:rsid w:val="00C72AD4"/>
    <w:rsid w:val="00C74745"/>
    <w:rsid w:val="00C74DA6"/>
    <w:rsid w:val="00C74FF1"/>
    <w:rsid w:val="00C80833"/>
    <w:rsid w:val="00C85119"/>
    <w:rsid w:val="00C86FF2"/>
    <w:rsid w:val="00C8723F"/>
    <w:rsid w:val="00C901DB"/>
    <w:rsid w:val="00C927B7"/>
    <w:rsid w:val="00C95C48"/>
    <w:rsid w:val="00CA41E7"/>
    <w:rsid w:val="00CA5D99"/>
    <w:rsid w:val="00CB423E"/>
    <w:rsid w:val="00CB45DA"/>
    <w:rsid w:val="00CB6DD5"/>
    <w:rsid w:val="00CC0B07"/>
    <w:rsid w:val="00CD1677"/>
    <w:rsid w:val="00CD170C"/>
    <w:rsid w:val="00CD2EF4"/>
    <w:rsid w:val="00CD320B"/>
    <w:rsid w:val="00CD3F37"/>
    <w:rsid w:val="00CD5431"/>
    <w:rsid w:val="00CD74FB"/>
    <w:rsid w:val="00CE1576"/>
    <w:rsid w:val="00CE4817"/>
    <w:rsid w:val="00CE4B93"/>
    <w:rsid w:val="00CF195A"/>
    <w:rsid w:val="00CF2491"/>
    <w:rsid w:val="00CF3963"/>
    <w:rsid w:val="00CF500C"/>
    <w:rsid w:val="00D01493"/>
    <w:rsid w:val="00D03878"/>
    <w:rsid w:val="00D1252E"/>
    <w:rsid w:val="00D13D9D"/>
    <w:rsid w:val="00D14AFE"/>
    <w:rsid w:val="00D31A3B"/>
    <w:rsid w:val="00D32FE6"/>
    <w:rsid w:val="00D416A3"/>
    <w:rsid w:val="00D45418"/>
    <w:rsid w:val="00D459A2"/>
    <w:rsid w:val="00D530FF"/>
    <w:rsid w:val="00D53688"/>
    <w:rsid w:val="00D5407A"/>
    <w:rsid w:val="00D570DD"/>
    <w:rsid w:val="00D57772"/>
    <w:rsid w:val="00D71246"/>
    <w:rsid w:val="00D72AE3"/>
    <w:rsid w:val="00D73A53"/>
    <w:rsid w:val="00D75A4D"/>
    <w:rsid w:val="00D75AD9"/>
    <w:rsid w:val="00D80035"/>
    <w:rsid w:val="00D815E5"/>
    <w:rsid w:val="00D8478B"/>
    <w:rsid w:val="00D8612E"/>
    <w:rsid w:val="00D86151"/>
    <w:rsid w:val="00D86328"/>
    <w:rsid w:val="00D870C6"/>
    <w:rsid w:val="00D90C92"/>
    <w:rsid w:val="00D9172D"/>
    <w:rsid w:val="00D96D83"/>
    <w:rsid w:val="00D97E84"/>
    <w:rsid w:val="00DA1AEF"/>
    <w:rsid w:val="00DA40E2"/>
    <w:rsid w:val="00DA5641"/>
    <w:rsid w:val="00DA7595"/>
    <w:rsid w:val="00DB0A68"/>
    <w:rsid w:val="00DB4FE3"/>
    <w:rsid w:val="00DC1A92"/>
    <w:rsid w:val="00DC2EEA"/>
    <w:rsid w:val="00DC368E"/>
    <w:rsid w:val="00DC43A3"/>
    <w:rsid w:val="00DC4CF3"/>
    <w:rsid w:val="00DC5C01"/>
    <w:rsid w:val="00DD4C23"/>
    <w:rsid w:val="00DD6E87"/>
    <w:rsid w:val="00DD7C09"/>
    <w:rsid w:val="00DF0EB4"/>
    <w:rsid w:val="00DF111E"/>
    <w:rsid w:val="00DF64C5"/>
    <w:rsid w:val="00E0124F"/>
    <w:rsid w:val="00E04F4B"/>
    <w:rsid w:val="00E07F36"/>
    <w:rsid w:val="00E13081"/>
    <w:rsid w:val="00E14E1C"/>
    <w:rsid w:val="00E15877"/>
    <w:rsid w:val="00E30124"/>
    <w:rsid w:val="00E346F7"/>
    <w:rsid w:val="00E410C0"/>
    <w:rsid w:val="00E4311F"/>
    <w:rsid w:val="00E5002E"/>
    <w:rsid w:val="00E504BA"/>
    <w:rsid w:val="00E553BC"/>
    <w:rsid w:val="00E56BDD"/>
    <w:rsid w:val="00E5762A"/>
    <w:rsid w:val="00E61ED9"/>
    <w:rsid w:val="00E65599"/>
    <w:rsid w:val="00E674D3"/>
    <w:rsid w:val="00E70FD0"/>
    <w:rsid w:val="00E72B2C"/>
    <w:rsid w:val="00E7309D"/>
    <w:rsid w:val="00E77C4B"/>
    <w:rsid w:val="00E841C4"/>
    <w:rsid w:val="00E9301F"/>
    <w:rsid w:val="00E93627"/>
    <w:rsid w:val="00E9690A"/>
    <w:rsid w:val="00E97DC7"/>
    <w:rsid w:val="00EA1695"/>
    <w:rsid w:val="00EE682E"/>
    <w:rsid w:val="00EF17A5"/>
    <w:rsid w:val="00EF2AD1"/>
    <w:rsid w:val="00F000EF"/>
    <w:rsid w:val="00F00F69"/>
    <w:rsid w:val="00F0196E"/>
    <w:rsid w:val="00F03B3E"/>
    <w:rsid w:val="00F0467F"/>
    <w:rsid w:val="00F16A14"/>
    <w:rsid w:val="00F17CD1"/>
    <w:rsid w:val="00F24B1A"/>
    <w:rsid w:val="00F2504E"/>
    <w:rsid w:val="00F2585B"/>
    <w:rsid w:val="00F35751"/>
    <w:rsid w:val="00F4053F"/>
    <w:rsid w:val="00F43982"/>
    <w:rsid w:val="00F513E8"/>
    <w:rsid w:val="00F516E7"/>
    <w:rsid w:val="00F5376B"/>
    <w:rsid w:val="00F57BF7"/>
    <w:rsid w:val="00F6263E"/>
    <w:rsid w:val="00F627C2"/>
    <w:rsid w:val="00F71C4D"/>
    <w:rsid w:val="00F736FD"/>
    <w:rsid w:val="00F77408"/>
    <w:rsid w:val="00F837F6"/>
    <w:rsid w:val="00F84067"/>
    <w:rsid w:val="00F9515B"/>
    <w:rsid w:val="00F9609A"/>
    <w:rsid w:val="00F96FE1"/>
    <w:rsid w:val="00FA0A6D"/>
    <w:rsid w:val="00FA1270"/>
    <w:rsid w:val="00FA4D7D"/>
    <w:rsid w:val="00FA50B4"/>
    <w:rsid w:val="00FB6E83"/>
    <w:rsid w:val="00FC0078"/>
    <w:rsid w:val="00FC156A"/>
    <w:rsid w:val="00FD3BAD"/>
    <w:rsid w:val="00FD422B"/>
    <w:rsid w:val="00FD5852"/>
    <w:rsid w:val="00FD6235"/>
    <w:rsid w:val="00FE13D1"/>
    <w:rsid w:val="00FE3DE5"/>
    <w:rsid w:val="00FF5535"/>
    <w:rsid w:val="00FF7F6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7762DAC"/>
  <w15:docId w15:val="{41102497-AA16-4625-942B-09DB4F7C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iPriority w:val="99"/>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unhideWhenUsed/>
    <w:rsid w:val="00CE4B93"/>
    <w:rPr>
      <w:sz w:val="20"/>
      <w:szCs w:val="20"/>
    </w:rPr>
  </w:style>
  <w:style w:type="character" w:customStyle="1" w:styleId="CommentTextChar">
    <w:name w:val="Comment Text Char"/>
    <w:basedOn w:val="DefaultParagraphFont"/>
    <w:link w:val="CommentText"/>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3C4ABF"/>
    <w:rPr>
      <w:rFonts w:eastAsia="BatangChe"/>
      <w:sz w:val="24"/>
      <w:szCs w:val="24"/>
    </w:rPr>
  </w:style>
  <w:style w:type="character" w:customStyle="1" w:styleId="apple-style-span">
    <w:name w:val="apple-style-span"/>
    <w:basedOn w:val="DefaultParagraphFont"/>
    <w:rsid w:val="003C4ABF"/>
  </w:style>
  <w:style w:type="paragraph" w:customStyle="1" w:styleId="ListParagraph1">
    <w:name w:val="List Paragraph1"/>
    <w:basedOn w:val="Normal"/>
    <w:uiPriority w:val="34"/>
    <w:qFormat/>
    <w:rsid w:val="00A700A8"/>
    <w:pPr>
      <w:ind w:firstLineChars="200" w:firstLine="420"/>
    </w:pPr>
  </w:style>
  <w:style w:type="character" w:customStyle="1" w:styleId="enumlev1Char">
    <w:name w:val="enumlev1 Char"/>
    <w:basedOn w:val="DefaultParagraphFont"/>
    <w:link w:val="enumlev1"/>
    <w:qFormat/>
    <w:locked/>
    <w:rsid w:val="00E65599"/>
    <w:rPr>
      <w:rFonts w:ascii="MS Mincho" w:eastAsia="MS Mincho" w:hAnsi="MS Mincho"/>
      <w:sz w:val="24"/>
      <w:lang w:val="en-GB"/>
    </w:rPr>
  </w:style>
  <w:style w:type="paragraph" w:customStyle="1" w:styleId="enumlev1">
    <w:name w:val="enumlev1"/>
    <w:basedOn w:val="Normal"/>
    <w:link w:val="enumlev1Char"/>
    <w:qFormat/>
    <w:rsid w:val="00E65599"/>
    <w:pPr>
      <w:tabs>
        <w:tab w:val="left" w:pos="1134"/>
        <w:tab w:val="left" w:pos="1871"/>
        <w:tab w:val="left" w:pos="2608"/>
        <w:tab w:val="left" w:pos="3345"/>
      </w:tabs>
      <w:overflowPunct w:val="0"/>
      <w:autoSpaceDE w:val="0"/>
      <w:autoSpaceDN w:val="0"/>
      <w:adjustRightInd w:val="0"/>
      <w:spacing w:before="80"/>
      <w:ind w:left="1134" w:hanging="1134"/>
    </w:pPr>
    <w:rPr>
      <w:rFonts w:ascii="MS Mincho" w:eastAsia="MS Mincho" w:hAnsi="MS Mincho"/>
      <w:szCs w:val="20"/>
      <w:lang w:val="en-GB"/>
    </w:rPr>
  </w:style>
  <w:style w:type="character" w:customStyle="1" w:styleId="Heading8Char">
    <w:name w:val="Heading 8 Char"/>
    <w:basedOn w:val="DefaultParagraphFont"/>
    <w:link w:val="Heading8"/>
    <w:rsid w:val="00901474"/>
    <w:rPr>
      <w:rFonts w:eastAsia="BatangChe"/>
      <w:b/>
      <w:bCs/>
      <w:kern w:val="2"/>
      <w:lang w:eastAsia="ko-KR"/>
    </w:rPr>
  </w:style>
  <w:style w:type="character" w:customStyle="1" w:styleId="UnresolvedMention2">
    <w:name w:val="Unresolved Mention2"/>
    <w:basedOn w:val="DefaultParagraphFont"/>
    <w:uiPriority w:val="99"/>
    <w:semiHidden/>
    <w:unhideWhenUsed/>
    <w:rsid w:val="00C8723F"/>
    <w:rPr>
      <w:color w:val="605E5C"/>
      <w:shd w:val="clear" w:color="auto" w:fill="E1DFDD"/>
    </w:rPr>
  </w:style>
  <w:style w:type="paragraph" w:styleId="Revision">
    <w:name w:val="Revision"/>
    <w:hidden/>
    <w:uiPriority w:val="99"/>
    <w:semiHidden/>
    <w:rsid w:val="00CC0B07"/>
    <w:rPr>
      <w:rFonts w:eastAsia="BatangChe"/>
      <w:sz w:val="24"/>
      <w:szCs w:val="24"/>
    </w:rPr>
  </w:style>
  <w:style w:type="character" w:customStyle="1" w:styleId="ECCParagraph">
    <w:name w:val="ECC Paragraph"/>
    <w:basedOn w:val="DefaultParagraphFont"/>
    <w:uiPriority w:val="1"/>
    <w:qFormat/>
    <w:rsid w:val="0027131C"/>
    <w:rPr>
      <w:rFonts w:ascii="Arial" w:hAnsi="Arial" w:cs="Arial" w:hint="default"/>
      <w:noProof w:val="0"/>
      <w:sz w:val="20"/>
      <w:bdr w:val="none" w:sz="0" w:space="0" w:color="auto" w:frame="1"/>
      <w:lang w:val="en-GB"/>
    </w:rPr>
  </w:style>
  <w:style w:type="character" w:customStyle="1" w:styleId="Heading1Char">
    <w:name w:val="Heading 1 Char"/>
    <w:basedOn w:val="DefaultParagraphFont"/>
    <w:link w:val="Heading1"/>
    <w:rsid w:val="00F77408"/>
    <w:rPr>
      <w:rFonts w:eastAsia="BatangChe"/>
      <w:b/>
      <w:bCs/>
      <w:sz w:val="24"/>
      <w:szCs w:val="24"/>
      <w:u w:val="single"/>
    </w:rPr>
  </w:style>
  <w:style w:type="paragraph" w:styleId="NormalWeb">
    <w:name w:val="Normal (Web)"/>
    <w:basedOn w:val="Normal"/>
    <w:uiPriority w:val="99"/>
    <w:semiHidden/>
    <w:unhideWhenUsed/>
    <w:rsid w:val="00D870C6"/>
    <w:pPr>
      <w:spacing w:before="100" w:beforeAutospacing="1" w:after="100" w:afterAutospacing="1"/>
    </w:pPr>
    <w:rPr>
      <w:rFonts w:ascii="MS PGothic" w:eastAsia="MS PGothic" w:hAnsi="MS PGothic"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951">
      <w:bodyDiv w:val="1"/>
      <w:marLeft w:val="0"/>
      <w:marRight w:val="0"/>
      <w:marTop w:val="0"/>
      <w:marBottom w:val="0"/>
      <w:divBdr>
        <w:top w:val="none" w:sz="0" w:space="0" w:color="auto"/>
        <w:left w:val="none" w:sz="0" w:space="0" w:color="auto"/>
        <w:bottom w:val="none" w:sz="0" w:space="0" w:color="auto"/>
        <w:right w:val="none" w:sz="0" w:space="0" w:color="auto"/>
      </w:divBdr>
    </w:div>
    <w:div w:id="105930438">
      <w:bodyDiv w:val="1"/>
      <w:marLeft w:val="0"/>
      <w:marRight w:val="0"/>
      <w:marTop w:val="0"/>
      <w:marBottom w:val="0"/>
      <w:divBdr>
        <w:top w:val="none" w:sz="0" w:space="0" w:color="auto"/>
        <w:left w:val="none" w:sz="0" w:space="0" w:color="auto"/>
        <w:bottom w:val="none" w:sz="0" w:space="0" w:color="auto"/>
        <w:right w:val="none" w:sz="0" w:space="0" w:color="auto"/>
      </w:divBdr>
    </w:div>
    <w:div w:id="123474303">
      <w:bodyDiv w:val="1"/>
      <w:marLeft w:val="0"/>
      <w:marRight w:val="0"/>
      <w:marTop w:val="0"/>
      <w:marBottom w:val="0"/>
      <w:divBdr>
        <w:top w:val="none" w:sz="0" w:space="0" w:color="auto"/>
        <w:left w:val="none" w:sz="0" w:space="0" w:color="auto"/>
        <w:bottom w:val="none" w:sz="0" w:space="0" w:color="auto"/>
        <w:right w:val="none" w:sz="0" w:space="0" w:color="auto"/>
      </w:divBdr>
    </w:div>
    <w:div w:id="192621280">
      <w:bodyDiv w:val="1"/>
      <w:marLeft w:val="0"/>
      <w:marRight w:val="0"/>
      <w:marTop w:val="0"/>
      <w:marBottom w:val="0"/>
      <w:divBdr>
        <w:top w:val="none" w:sz="0" w:space="0" w:color="auto"/>
        <w:left w:val="none" w:sz="0" w:space="0" w:color="auto"/>
        <w:bottom w:val="none" w:sz="0" w:space="0" w:color="auto"/>
        <w:right w:val="none" w:sz="0" w:space="0" w:color="auto"/>
      </w:divBdr>
    </w:div>
    <w:div w:id="207492321">
      <w:bodyDiv w:val="1"/>
      <w:marLeft w:val="0"/>
      <w:marRight w:val="0"/>
      <w:marTop w:val="0"/>
      <w:marBottom w:val="0"/>
      <w:divBdr>
        <w:top w:val="none" w:sz="0" w:space="0" w:color="auto"/>
        <w:left w:val="none" w:sz="0" w:space="0" w:color="auto"/>
        <w:bottom w:val="none" w:sz="0" w:space="0" w:color="auto"/>
        <w:right w:val="none" w:sz="0" w:space="0" w:color="auto"/>
      </w:divBdr>
    </w:div>
    <w:div w:id="255945109">
      <w:bodyDiv w:val="1"/>
      <w:marLeft w:val="0"/>
      <w:marRight w:val="0"/>
      <w:marTop w:val="0"/>
      <w:marBottom w:val="0"/>
      <w:divBdr>
        <w:top w:val="none" w:sz="0" w:space="0" w:color="auto"/>
        <w:left w:val="none" w:sz="0" w:space="0" w:color="auto"/>
        <w:bottom w:val="none" w:sz="0" w:space="0" w:color="auto"/>
        <w:right w:val="none" w:sz="0" w:space="0" w:color="auto"/>
      </w:divBdr>
    </w:div>
    <w:div w:id="281308823">
      <w:bodyDiv w:val="1"/>
      <w:marLeft w:val="0"/>
      <w:marRight w:val="0"/>
      <w:marTop w:val="0"/>
      <w:marBottom w:val="0"/>
      <w:divBdr>
        <w:top w:val="none" w:sz="0" w:space="0" w:color="auto"/>
        <w:left w:val="none" w:sz="0" w:space="0" w:color="auto"/>
        <w:bottom w:val="none" w:sz="0" w:space="0" w:color="auto"/>
        <w:right w:val="none" w:sz="0" w:space="0" w:color="auto"/>
      </w:divBdr>
    </w:div>
    <w:div w:id="460657021">
      <w:bodyDiv w:val="1"/>
      <w:marLeft w:val="0"/>
      <w:marRight w:val="0"/>
      <w:marTop w:val="0"/>
      <w:marBottom w:val="0"/>
      <w:divBdr>
        <w:top w:val="none" w:sz="0" w:space="0" w:color="auto"/>
        <w:left w:val="none" w:sz="0" w:space="0" w:color="auto"/>
        <w:bottom w:val="none" w:sz="0" w:space="0" w:color="auto"/>
        <w:right w:val="none" w:sz="0" w:space="0" w:color="auto"/>
      </w:divBdr>
    </w:div>
    <w:div w:id="584073748">
      <w:bodyDiv w:val="1"/>
      <w:marLeft w:val="0"/>
      <w:marRight w:val="0"/>
      <w:marTop w:val="0"/>
      <w:marBottom w:val="0"/>
      <w:divBdr>
        <w:top w:val="none" w:sz="0" w:space="0" w:color="auto"/>
        <w:left w:val="none" w:sz="0" w:space="0" w:color="auto"/>
        <w:bottom w:val="none" w:sz="0" w:space="0" w:color="auto"/>
        <w:right w:val="none" w:sz="0" w:space="0" w:color="auto"/>
      </w:divBdr>
    </w:div>
    <w:div w:id="595796468">
      <w:bodyDiv w:val="1"/>
      <w:marLeft w:val="0"/>
      <w:marRight w:val="0"/>
      <w:marTop w:val="0"/>
      <w:marBottom w:val="0"/>
      <w:divBdr>
        <w:top w:val="none" w:sz="0" w:space="0" w:color="auto"/>
        <w:left w:val="none" w:sz="0" w:space="0" w:color="auto"/>
        <w:bottom w:val="none" w:sz="0" w:space="0" w:color="auto"/>
        <w:right w:val="none" w:sz="0" w:space="0" w:color="auto"/>
      </w:divBdr>
    </w:div>
    <w:div w:id="613942787">
      <w:bodyDiv w:val="1"/>
      <w:marLeft w:val="0"/>
      <w:marRight w:val="0"/>
      <w:marTop w:val="0"/>
      <w:marBottom w:val="0"/>
      <w:divBdr>
        <w:top w:val="none" w:sz="0" w:space="0" w:color="auto"/>
        <w:left w:val="none" w:sz="0" w:space="0" w:color="auto"/>
        <w:bottom w:val="none" w:sz="0" w:space="0" w:color="auto"/>
        <w:right w:val="none" w:sz="0" w:space="0" w:color="auto"/>
      </w:divBdr>
    </w:div>
    <w:div w:id="623582323">
      <w:bodyDiv w:val="1"/>
      <w:marLeft w:val="0"/>
      <w:marRight w:val="0"/>
      <w:marTop w:val="0"/>
      <w:marBottom w:val="0"/>
      <w:divBdr>
        <w:top w:val="none" w:sz="0" w:space="0" w:color="auto"/>
        <w:left w:val="none" w:sz="0" w:space="0" w:color="auto"/>
        <w:bottom w:val="none" w:sz="0" w:space="0" w:color="auto"/>
        <w:right w:val="none" w:sz="0" w:space="0" w:color="auto"/>
      </w:divBdr>
    </w:div>
    <w:div w:id="766072262">
      <w:bodyDiv w:val="1"/>
      <w:marLeft w:val="0"/>
      <w:marRight w:val="0"/>
      <w:marTop w:val="0"/>
      <w:marBottom w:val="0"/>
      <w:divBdr>
        <w:top w:val="none" w:sz="0" w:space="0" w:color="auto"/>
        <w:left w:val="none" w:sz="0" w:space="0" w:color="auto"/>
        <w:bottom w:val="none" w:sz="0" w:space="0" w:color="auto"/>
        <w:right w:val="none" w:sz="0" w:space="0" w:color="auto"/>
      </w:divBdr>
    </w:div>
    <w:div w:id="781343574">
      <w:bodyDiv w:val="1"/>
      <w:marLeft w:val="0"/>
      <w:marRight w:val="0"/>
      <w:marTop w:val="0"/>
      <w:marBottom w:val="0"/>
      <w:divBdr>
        <w:top w:val="none" w:sz="0" w:space="0" w:color="auto"/>
        <w:left w:val="none" w:sz="0" w:space="0" w:color="auto"/>
        <w:bottom w:val="none" w:sz="0" w:space="0" w:color="auto"/>
        <w:right w:val="none" w:sz="0" w:space="0" w:color="auto"/>
      </w:divBdr>
    </w:div>
    <w:div w:id="789861937">
      <w:bodyDiv w:val="1"/>
      <w:marLeft w:val="0"/>
      <w:marRight w:val="0"/>
      <w:marTop w:val="0"/>
      <w:marBottom w:val="0"/>
      <w:divBdr>
        <w:top w:val="none" w:sz="0" w:space="0" w:color="auto"/>
        <w:left w:val="none" w:sz="0" w:space="0" w:color="auto"/>
        <w:bottom w:val="none" w:sz="0" w:space="0" w:color="auto"/>
        <w:right w:val="none" w:sz="0" w:space="0" w:color="auto"/>
      </w:divBdr>
    </w:div>
    <w:div w:id="853570325">
      <w:bodyDiv w:val="1"/>
      <w:marLeft w:val="0"/>
      <w:marRight w:val="0"/>
      <w:marTop w:val="0"/>
      <w:marBottom w:val="0"/>
      <w:divBdr>
        <w:top w:val="none" w:sz="0" w:space="0" w:color="auto"/>
        <w:left w:val="none" w:sz="0" w:space="0" w:color="auto"/>
        <w:bottom w:val="none" w:sz="0" w:space="0" w:color="auto"/>
        <w:right w:val="none" w:sz="0" w:space="0" w:color="auto"/>
      </w:divBdr>
    </w:div>
    <w:div w:id="859272900">
      <w:bodyDiv w:val="1"/>
      <w:marLeft w:val="0"/>
      <w:marRight w:val="0"/>
      <w:marTop w:val="0"/>
      <w:marBottom w:val="0"/>
      <w:divBdr>
        <w:top w:val="none" w:sz="0" w:space="0" w:color="auto"/>
        <w:left w:val="none" w:sz="0" w:space="0" w:color="auto"/>
        <w:bottom w:val="none" w:sz="0" w:space="0" w:color="auto"/>
        <w:right w:val="none" w:sz="0" w:space="0" w:color="auto"/>
      </w:divBdr>
    </w:div>
    <w:div w:id="875698656">
      <w:bodyDiv w:val="1"/>
      <w:marLeft w:val="0"/>
      <w:marRight w:val="0"/>
      <w:marTop w:val="0"/>
      <w:marBottom w:val="0"/>
      <w:divBdr>
        <w:top w:val="none" w:sz="0" w:space="0" w:color="auto"/>
        <w:left w:val="none" w:sz="0" w:space="0" w:color="auto"/>
        <w:bottom w:val="none" w:sz="0" w:space="0" w:color="auto"/>
        <w:right w:val="none" w:sz="0" w:space="0" w:color="auto"/>
      </w:divBdr>
    </w:div>
    <w:div w:id="884869439">
      <w:bodyDiv w:val="1"/>
      <w:marLeft w:val="0"/>
      <w:marRight w:val="0"/>
      <w:marTop w:val="0"/>
      <w:marBottom w:val="0"/>
      <w:divBdr>
        <w:top w:val="none" w:sz="0" w:space="0" w:color="auto"/>
        <w:left w:val="none" w:sz="0" w:space="0" w:color="auto"/>
        <w:bottom w:val="none" w:sz="0" w:space="0" w:color="auto"/>
        <w:right w:val="none" w:sz="0" w:space="0" w:color="auto"/>
      </w:divBdr>
    </w:div>
    <w:div w:id="933437659">
      <w:bodyDiv w:val="1"/>
      <w:marLeft w:val="0"/>
      <w:marRight w:val="0"/>
      <w:marTop w:val="0"/>
      <w:marBottom w:val="0"/>
      <w:divBdr>
        <w:top w:val="none" w:sz="0" w:space="0" w:color="auto"/>
        <w:left w:val="none" w:sz="0" w:space="0" w:color="auto"/>
        <w:bottom w:val="none" w:sz="0" w:space="0" w:color="auto"/>
        <w:right w:val="none" w:sz="0" w:space="0" w:color="auto"/>
      </w:divBdr>
    </w:div>
    <w:div w:id="944121404">
      <w:bodyDiv w:val="1"/>
      <w:marLeft w:val="0"/>
      <w:marRight w:val="0"/>
      <w:marTop w:val="0"/>
      <w:marBottom w:val="0"/>
      <w:divBdr>
        <w:top w:val="none" w:sz="0" w:space="0" w:color="auto"/>
        <w:left w:val="none" w:sz="0" w:space="0" w:color="auto"/>
        <w:bottom w:val="none" w:sz="0" w:space="0" w:color="auto"/>
        <w:right w:val="none" w:sz="0" w:space="0" w:color="auto"/>
      </w:divBdr>
    </w:div>
    <w:div w:id="1011761732">
      <w:bodyDiv w:val="1"/>
      <w:marLeft w:val="0"/>
      <w:marRight w:val="0"/>
      <w:marTop w:val="0"/>
      <w:marBottom w:val="0"/>
      <w:divBdr>
        <w:top w:val="none" w:sz="0" w:space="0" w:color="auto"/>
        <w:left w:val="none" w:sz="0" w:space="0" w:color="auto"/>
        <w:bottom w:val="none" w:sz="0" w:space="0" w:color="auto"/>
        <w:right w:val="none" w:sz="0" w:space="0" w:color="auto"/>
      </w:divBdr>
    </w:div>
    <w:div w:id="1015886467">
      <w:bodyDiv w:val="1"/>
      <w:marLeft w:val="0"/>
      <w:marRight w:val="0"/>
      <w:marTop w:val="0"/>
      <w:marBottom w:val="0"/>
      <w:divBdr>
        <w:top w:val="none" w:sz="0" w:space="0" w:color="auto"/>
        <w:left w:val="none" w:sz="0" w:space="0" w:color="auto"/>
        <w:bottom w:val="none" w:sz="0" w:space="0" w:color="auto"/>
        <w:right w:val="none" w:sz="0" w:space="0" w:color="auto"/>
      </w:divBdr>
    </w:div>
    <w:div w:id="1107846936">
      <w:bodyDiv w:val="1"/>
      <w:marLeft w:val="0"/>
      <w:marRight w:val="0"/>
      <w:marTop w:val="0"/>
      <w:marBottom w:val="0"/>
      <w:divBdr>
        <w:top w:val="none" w:sz="0" w:space="0" w:color="auto"/>
        <w:left w:val="none" w:sz="0" w:space="0" w:color="auto"/>
        <w:bottom w:val="none" w:sz="0" w:space="0" w:color="auto"/>
        <w:right w:val="none" w:sz="0" w:space="0" w:color="auto"/>
      </w:divBdr>
    </w:div>
    <w:div w:id="1111438020">
      <w:bodyDiv w:val="1"/>
      <w:marLeft w:val="0"/>
      <w:marRight w:val="0"/>
      <w:marTop w:val="0"/>
      <w:marBottom w:val="0"/>
      <w:divBdr>
        <w:top w:val="none" w:sz="0" w:space="0" w:color="auto"/>
        <w:left w:val="none" w:sz="0" w:space="0" w:color="auto"/>
        <w:bottom w:val="none" w:sz="0" w:space="0" w:color="auto"/>
        <w:right w:val="none" w:sz="0" w:space="0" w:color="auto"/>
      </w:divBdr>
    </w:div>
    <w:div w:id="1121922321">
      <w:bodyDiv w:val="1"/>
      <w:marLeft w:val="0"/>
      <w:marRight w:val="0"/>
      <w:marTop w:val="0"/>
      <w:marBottom w:val="0"/>
      <w:divBdr>
        <w:top w:val="none" w:sz="0" w:space="0" w:color="auto"/>
        <w:left w:val="none" w:sz="0" w:space="0" w:color="auto"/>
        <w:bottom w:val="none" w:sz="0" w:space="0" w:color="auto"/>
        <w:right w:val="none" w:sz="0" w:space="0" w:color="auto"/>
      </w:divBdr>
    </w:div>
    <w:div w:id="1134644077">
      <w:bodyDiv w:val="1"/>
      <w:marLeft w:val="0"/>
      <w:marRight w:val="0"/>
      <w:marTop w:val="0"/>
      <w:marBottom w:val="0"/>
      <w:divBdr>
        <w:top w:val="none" w:sz="0" w:space="0" w:color="auto"/>
        <w:left w:val="none" w:sz="0" w:space="0" w:color="auto"/>
        <w:bottom w:val="none" w:sz="0" w:space="0" w:color="auto"/>
        <w:right w:val="none" w:sz="0" w:space="0" w:color="auto"/>
      </w:divBdr>
    </w:div>
    <w:div w:id="1160805681">
      <w:bodyDiv w:val="1"/>
      <w:marLeft w:val="0"/>
      <w:marRight w:val="0"/>
      <w:marTop w:val="0"/>
      <w:marBottom w:val="0"/>
      <w:divBdr>
        <w:top w:val="none" w:sz="0" w:space="0" w:color="auto"/>
        <w:left w:val="none" w:sz="0" w:space="0" w:color="auto"/>
        <w:bottom w:val="none" w:sz="0" w:space="0" w:color="auto"/>
        <w:right w:val="none" w:sz="0" w:space="0" w:color="auto"/>
      </w:divBdr>
    </w:div>
    <w:div w:id="1189492091">
      <w:bodyDiv w:val="1"/>
      <w:marLeft w:val="0"/>
      <w:marRight w:val="0"/>
      <w:marTop w:val="0"/>
      <w:marBottom w:val="0"/>
      <w:divBdr>
        <w:top w:val="none" w:sz="0" w:space="0" w:color="auto"/>
        <w:left w:val="none" w:sz="0" w:space="0" w:color="auto"/>
        <w:bottom w:val="none" w:sz="0" w:space="0" w:color="auto"/>
        <w:right w:val="none" w:sz="0" w:space="0" w:color="auto"/>
      </w:divBdr>
    </w:div>
    <w:div w:id="1200626698">
      <w:bodyDiv w:val="1"/>
      <w:marLeft w:val="0"/>
      <w:marRight w:val="0"/>
      <w:marTop w:val="0"/>
      <w:marBottom w:val="0"/>
      <w:divBdr>
        <w:top w:val="none" w:sz="0" w:space="0" w:color="auto"/>
        <w:left w:val="none" w:sz="0" w:space="0" w:color="auto"/>
        <w:bottom w:val="none" w:sz="0" w:space="0" w:color="auto"/>
        <w:right w:val="none" w:sz="0" w:space="0" w:color="auto"/>
      </w:divBdr>
    </w:div>
    <w:div w:id="1225529263">
      <w:bodyDiv w:val="1"/>
      <w:marLeft w:val="0"/>
      <w:marRight w:val="0"/>
      <w:marTop w:val="0"/>
      <w:marBottom w:val="0"/>
      <w:divBdr>
        <w:top w:val="none" w:sz="0" w:space="0" w:color="auto"/>
        <w:left w:val="none" w:sz="0" w:space="0" w:color="auto"/>
        <w:bottom w:val="none" w:sz="0" w:space="0" w:color="auto"/>
        <w:right w:val="none" w:sz="0" w:space="0" w:color="auto"/>
      </w:divBdr>
    </w:div>
    <w:div w:id="1292370754">
      <w:bodyDiv w:val="1"/>
      <w:marLeft w:val="0"/>
      <w:marRight w:val="0"/>
      <w:marTop w:val="0"/>
      <w:marBottom w:val="0"/>
      <w:divBdr>
        <w:top w:val="none" w:sz="0" w:space="0" w:color="auto"/>
        <w:left w:val="none" w:sz="0" w:space="0" w:color="auto"/>
        <w:bottom w:val="none" w:sz="0" w:space="0" w:color="auto"/>
        <w:right w:val="none" w:sz="0" w:space="0" w:color="auto"/>
      </w:divBdr>
    </w:div>
    <w:div w:id="1348866400">
      <w:bodyDiv w:val="1"/>
      <w:marLeft w:val="0"/>
      <w:marRight w:val="0"/>
      <w:marTop w:val="0"/>
      <w:marBottom w:val="0"/>
      <w:divBdr>
        <w:top w:val="none" w:sz="0" w:space="0" w:color="auto"/>
        <w:left w:val="none" w:sz="0" w:space="0" w:color="auto"/>
        <w:bottom w:val="none" w:sz="0" w:space="0" w:color="auto"/>
        <w:right w:val="none" w:sz="0" w:space="0" w:color="auto"/>
      </w:divBdr>
    </w:div>
    <w:div w:id="1394935860">
      <w:bodyDiv w:val="1"/>
      <w:marLeft w:val="0"/>
      <w:marRight w:val="0"/>
      <w:marTop w:val="0"/>
      <w:marBottom w:val="0"/>
      <w:divBdr>
        <w:top w:val="none" w:sz="0" w:space="0" w:color="auto"/>
        <w:left w:val="none" w:sz="0" w:space="0" w:color="auto"/>
        <w:bottom w:val="none" w:sz="0" w:space="0" w:color="auto"/>
        <w:right w:val="none" w:sz="0" w:space="0" w:color="auto"/>
      </w:divBdr>
    </w:div>
    <w:div w:id="1456679922">
      <w:bodyDiv w:val="1"/>
      <w:marLeft w:val="0"/>
      <w:marRight w:val="0"/>
      <w:marTop w:val="0"/>
      <w:marBottom w:val="0"/>
      <w:divBdr>
        <w:top w:val="none" w:sz="0" w:space="0" w:color="auto"/>
        <w:left w:val="none" w:sz="0" w:space="0" w:color="auto"/>
        <w:bottom w:val="none" w:sz="0" w:space="0" w:color="auto"/>
        <w:right w:val="none" w:sz="0" w:space="0" w:color="auto"/>
      </w:divBdr>
    </w:div>
    <w:div w:id="1488739968">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32261030">
      <w:bodyDiv w:val="1"/>
      <w:marLeft w:val="0"/>
      <w:marRight w:val="0"/>
      <w:marTop w:val="0"/>
      <w:marBottom w:val="0"/>
      <w:divBdr>
        <w:top w:val="none" w:sz="0" w:space="0" w:color="auto"/>
        <w:left w:val="none" w:sz="0" w:space="0" w:color="auto"/>
        <w:bottom w:val="none" w:sz="0" w:space="0" w:color="auto"/>
        <w:right w:val="none" w:sz="0" w:space="0" w:color="auto"/>
      </w:divBdr>
    </w:div>
    <w:div w:id="1564484630">
      <w:bodyDiv w:val="1"/>
      <w:marLeft w:val="0"/>
      <w:marRight w:val="0"/>
      <w:marTop w:val="0"/>
      <w:marBottom w:val="0"/>
      <w:divBdr>
        <w:top w:val="none" w:sz="0" w:space="0" w:color="auto"/>
        <w:left w:val="none" w:sz="0" w:space="0" w:color="auto"/>
        <w:bottom w:val="none" w:sz="0" w:space="0" w:color="auto"/>
        <w:right w:val="none" w:sz="0" w:space="0" w:color="auto"/>
      </w:divBdr>
    </w:div>
    <w:div w:id="1567186521">
      <w:bodyDiv w:val="1"/>
      <w:marLeft w:val="0"/>
      <w:marRight w:val="0"/>
      <w:marTop w:val="0"/>
      <w:marBottom w:val="0"/>
      <w:divBdr>
        <w:top w:val="none" w:sz="0" w:space="0" w:color="auto"/>
        <w:left w:val="none" w:sz="0" w:space="0" w:color="auto"/>
        <w:bottom w:val="none" w:sz="0" w:space="0" w:color="auto"/>
        <w:right w:val="none" w:sz="0" w:space="0" w:color="auto"/>
      </w:divBdr>
    </w:div>
    <w:div w:id="1581060930">
      <w:bodyDiv w:val="1"/>
      <w:marLeft w:val="0"/>
      <w:marRight w:val="0"/>
      <w:marTop w:val="0"/>
      <w:marBottom w:val="0"/>
      <w:divBdr>
        <w:top w:val="none" w:sz="0" w:space="0" w:color="auto"/>
        <w:left w:val="none" w:sz="0" w:space="0" w:color="auto"/>
        <w:bottom w:val="none" w:sz="0" w:space="0" w:color="auto"/>
        <w:right w:val="none" w:sz="0" w:space="0" w:color="auto"/>
      </w:divBdr>
    </w:div>
    <w:div w:id="1611207594">
      <w:bodyDiv w:val="1"/>
      <w:marLeft w:val="0"/>
      <w:marRight w:val="0"/>
      <w:marTop w:val="0"/>
      <w:marBottom w:val="0"/>
      <w:divBdr>
        <w:top w:val="none" w:sz="0" w:space="0" w:color="auto"/>
        <w:left w:val="none" w:sz="0" w:space="0" w:color="auto"/>
        <w:bottom w:val="none" w:sz="0" w:space="0" w:color="auto"/>
        <w:right w:val="none" w:sz="0" w:space="0" w:color="auto"/>
      </w:divBdr>
    </w:div>
    <w:div w:id="1683824619">
      <w:bodyDiv w:val="1"/>
      <w:marLeft w:val="0"/>
      <w:marRight w:val="0"/>
      <w:marTop w:val="0"/>
      <w:marBottom w:val="0"/>
      <w:divBdr>
        <w:top w:val="none" w:sz="0" w:space="0" w:color="auto"/>
        <w:left w:val="none" w:sz="0" w:space="0" w:color="auto"/>
        <w:bottom w:val="none" w:sz="0" w:space="0" w:color="auto"/>
        <w:right w:val="none" w:sz="0" w:space="0" w:color="auto"/>
      </w:divBdr>
    </w:div>
    <w:div w:id="1714423375">
      <w:bodyDiv w:val="1"/>
      <w:marLeft w:val="0"/>
      <w:marRight w:val="0"/>
      <w:marTop w:val="0"/>
      <w:marBottom w:val="0"/>
      <w:divBdr>
        <w:top w:val="none" w:sz="0" w:space="0" w:color="auto"/>
        <w:left w:val="none" w:sz="0" w:space="0" w:color="auto"/>
        <w:bottom w:val="none" w:sz="0" w:space="0" w:color="auto"/>
        <w:right w:val="none" w:sz="0" w:space="0" w:color="auto"/>
      </w:divBdr>
    </w:div>
    <w:div w:id="1724478975">
      <w:bodyDiv w:val="1"/>
      <w:marLeft w:val="0"/>
      <w:marRight w:val="0"/>
      <w:marTop w:val="0"/>
      <w:marBottom w:val="0"/>
      <w:divBdr>
        <w:top w:val="none" w:sz="0" w:space="0" w:color="auto"/>
        <w:left w:val="none" w:sz="0" w:space="0" w:color="auto"/>
        <w:bottom w:val="none" w:sz="0" w:space="0" w:color="auto"/>
        <w:right w:val="none" w:sz="0" w:space="0" w:color="auto"/>
      </w:divBdr>
    </w:div>
    <w:div w:id="1758476030">
      <w:bodyDiv w:val="1"/>
      <w:marLeft w:val="0"/>
      <w:marRight w:val="0"/>
      <w:marTop w:val="0"/>
      <w:marBottom w:val="0"/>
      <w:divBdr>
        <w:top w:val="none" w:sz="0" w:space="0" w:color="auto"/>
        <w:left w:val="none" w:sz="0" w:space="0" w:color="auto"/>
        <w:bottom w:val="none" w:sz="0" w:space="0" w:color="auto"/>
        <w:right w:val="none" w:sz="0" w:space="0" w:color="auto"/>
      </w:divBdr>
    </w:div>
    <w:div w:id="1767842475">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3001">
      <w:bodyDiv w:val="1"/>
      <w:marLeft w:val="0"/>
      <w:marRight w:val="0"/>
      <w:marTop w:val="0"/>
      <w:marBottom w:val="0"/>
      <w:divBdr>
        <w:top w:val="none" w:sz="0" w:space="0" w:color="auto"/>
        <w:left w:val="none" w:sz="0" w:space="0" w:color="auto"/>
        <w:bottom w:val="none" w:sz="0" w:space="0" w:color="auto"/>
        <w:right w:val="none" w:sz="0" w:space="0" w:color="auto"/>
      </w:divBdr>
    </w:div>
    <w:div w:id="1823619513">
      <w:bodyDiv w:val="1"/>
      <w:marLeft w:val="0"/>
      <w:marRight w:val="0"/>
      <w:marTop w:val="0"/>
      <w:marBottom w:val="0"/>
      <w:divBdr>
        <w:top w:val="none" w:sz="0" w:space="0" w:color="auto"/>
        <w:left w:val="none" w:sz="0" w:space="0" w:color="auto"/>
        <w:bottom w:val="none" w:sz="0" w:space="0" w:color="auto"/>
        <w:right w:val="none" w:sz="0" w:space="0" w:color="auto"/>
      </w:divBdr>
    </w:div>
    <w:div w:id="1923104402">
      <w:bodyDiv w:val="1"/>
      <w:marLeft w:val="0"/>
      <w:marRight w:val="0"/>
      <w:marTop w:val="0"/>
      <w:marBottom w:val="0"/>
      <w:divBdr>
        <w:top w:val="none" w:sz="0" w:space="0" w:color="auto"/>
        <w:left w:val="none" w:sz="0" w:space="0" w:color="auto"/>
        <w:bottom w:val="none" w:sz="0" w:space="0" w:color="auto"/>
        <w:right w:val="none" w:sz="0" w:space="0" w:color="auto"/>
      </w:divBdr>
    </w:div>
    <w:div w:id="1940940630">
      <w:bodyDiv w:val="1"/>
      <w:marLeft w:val="0"/>
      <w:marRight w:val="0"/>
      <w:marTop w:val="0"/>
      <w:marBottom w:val="0"/>
      <w:divBdr>
        <w:top w:val="none" w:sz="0" w:space="0" w:color="auto"/>
        <w:left w:val="none" w:sz="0" w:space="0" w:color="auto"/>
        <w:bottom w:val="none" w:sz="0" w:space="0" w:color="auto"/>
        <w:right w:val="none" w:sz="0" w:space="0" w:color="auto"/>
      </w:divBdr>
    </w:div>
    <w:div w:id="21167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R19-CPM23.2-C-0001/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R19-CPM23.2-C-0001/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82D5-1851-4DDB-AD06-A84B51BF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2953</Words>
  <Characters>16069</Characters>
  <Application>Microsoft Office Word</Application>
  <DocSecurity>0</DocSecurity>
  <Lines>133</Lines>
  <Paragraphs>37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Organization</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Nidup Gyeltshen</cp:lastModifiedBy>
  <cp:revision>7</cp:revision>
  <cp:lastPrinted>2021-11-12T06:55:00Z</cp:lastPrinted>
  <dcterms:created xsi:type="dcterms:W3CDTF">2023-08-17T05:33:00Z</dcterms:created>
  <dcterms:modified xsi:type="dcterms:W3CDTF">2023-08-17T23:18:00Z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caas-kokpinp@soe.sgnet.gov.sg</vt:lpwstr>
  </property>
  <property fmtid="{D5CDD505-2E9C-101B-9397-08002B2CF9AE}" pid="5" name="MSIP_Label_3f9331f7-95a2-472a-92bc-d73219eb516b_SetDate">
    <vt:lpwstr>2021-04-19T08:15:54.0065857Z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db71c37c-f8da-4319-8f9e-b7ea1cd1966a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caas-kokpinp@soe.sgnet.gov.sg</vt:lpwstr>
  </property>
  <property fmtid="{D5CDD505-2E9C-101B-9397-08002B2CF9AE}" pid="13" name="MSIP_Label_4f288355-fb4c-44cd-b9ca-40cfc2aee5f8_SetDate">
    <vt:lpwstr>2021-04-19T08:15:54.0065857Z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db71c37c-f8da-4319-8f9e-b7ea1cd1966a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