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4533C4" w:rsidRPr="00AB76C8" w14:paraId="072DF2AD" w14:textId="77777777" w:rsidTr="00DF4143">
        <w:trPr>
          <w:cantSplit/>
          <w:trHeight w:val="288"/>
        </w:trPr>
        <w:tc>
          <w:tcPr>
            <w:tcW w:w="1399" w:type="dxa"/>
            <w:vMerge w:val="restart"/>
          </w:tcPr>
          <w:p w14:paraId="07EB69AF" w14:textId="77777777" w:rsidR="004533C4" w:rsidRPr="00AB76C8" w:rsidRDefault="004533C4" w:rsidP="00DF4143">
            <w:pPr>
              <w:widowControl w:val="0"/>
              <w:wordWrap w:val="0"/>
              <w:jc w:val="both"/>
              <w:rPr>
                <w:kern w:val="2"/>
                <w:lang w:eastAsia="ko-KR"/>
              </w:rPr>
            </w:pPr>
            <w:r w:rsidRPr="00AB76C8">
              <w:rPr>
                <w:noProof/>
                <w:kern w:val="2"/>
              </w:rPr>
              <w:drawing>
                <wp:inline distT="0" distB="0" distL="0" distR="0" wp14:anchorId="4027478B" wp14:editId="3DF06794">
                  <wp:extent cx="762635" cy="716280"/>
                  <wp:effectExtent l="0" t="0" r="0" b="7620"/>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6D420EE7" w14:textId="77777777" w:rsidR="004533C4" w:rsidRPr="00AB76C8" w:rsidRDefault="004533C4" w:rsidP="00DF4143">
            <w:pPr>
              <w:spacing w:before="40"/>
              <w:rPr>
                <w:sz w:val="22"/>
                <w:szCs w:val="22"/>
              </w:rPr>
            </w:pPr>
            <w:r w:rsidRPr="00AB76C8">
              <w:rPr>
                <w:sz w:val="22"/>
                <w:szCs w:val="22"/>
              </w:rPr>
              <w:t>ASIA-PACIFIC TELECOMMUNITY</w:t>
            </w:r>
          </w:p>
        </w:tc>
        <w:tc>
          <w:tcPr>
            <w:tcW w:w="2160" w:type="dxa"/>
          </w:tcPr>
          <w:p w14:paraId="1A4293D4" w14:textId="77777777" w:rsidR="004533C4" w:rsidRPr="00AB76C8" w:rsidRDefault="004533C4" w:rsidP="00DF4143">
            <w:pPr>
              <w:keepNext/>
              <w:widowControl w:val="0"/>
              <w:wordWrap w:val="0"/>
              <w:spacing w:before="40"/>
              <w:jc w:val="both"/>
              <w:outlineLvl w:val="7"/>
              <w:rPr>
                <w:b/>
                <w:bCs/>
                <w:kern w:val="2"/>
                <w:lang w:eastAsia="ko-KR"/>
              </w:rPr>
            </w:pPr>
            <w:r w:rsidRPr="00AB76C8">
              <w:rPr>
                <w:b/>
                <w:bCs/>
                <w:kern w:val="2"/>
                <w:lang w:eastAsia="ko-KR"/>
              </w:rPr>
              <w:t>Document No:</w:t>
            </w:r>
          </w:p>
        </w:tc>
      </w:tr>
      <w:tr w:rsidR="004533C4" w:rsidRPr="00AB76C8" w14:paraId="3E1A6317" w14:textId="77777777" w:rsidTr="00DF4143">
        <w:trPr>
          <w:cantSplit/>
          <w:trHeight w:val="504"/>
        </w:trPr>
        <w:tc>
          <w:tcPr>
            <w:tcW w:w="1399" w:type="dxa"/>
            <w:vMerge/>
          </w:tcPr>
          <w:p w14:paraId="08C39557" w14:textId="77777777" w:rsidR="004533C4" w:rsidRPr="00AB76C8" w:rsidRDefault="004533C4" w:rsidP="00DF4143"/>
        </w:tc>
        <w:tc>
          <w:tcPr>
            <w:tcW w:w="5760" w:type="dxa"/>
            <w:vAlign w:val="center"/>
          </w:tcPr>
          <w:p w14:paraId="5244F0D0" w14:textId="77777777" w:rsidR="004533C4" w:rsidRPr="00AB76C8" w:rsidRDefault="004533C4" w:rsidP="00DF4143">
            <w:pPr>
              <w:spacing w:line="0" w:lineRule="atLeast"/>
              <w:rPr>
                <w:b/>
              </w:rPr>
            </w:pPr>
            <w:r w:rsidRPr="00AB76C8">
              <w:rPr>
                <w:b/>
              </w:rPr>
              <w:t>The 4th Meeting of the APT Conference Preparatory</w:t>
            </w:r>
          </w:p>
          <w:p w14:paraId="39D73CF8" w14:textId="77777777" w:rsidR="004533C4" w:rsidRPr="00AB76C8" w:rsidRDefault="004533C4" w:rsidP="00DF4143">
            <w:pPr>
              <w:spacing w:before="40"/>
            </w:pPr>
            <w:r w:rsidRPr="00AB76C8">
              <w:rPr>
                <w:b/>
              </w:rPr>
              <w:t>Group for WRC-23 (APG23-4)</w:t>
            </w:r>
          </w:p>
        </w:tc>
        <w:tc>
          <w:tcPr>
            <w:tcW w:w="2160" w:type="dxa"/>
          </w:tcPr>
          <w:p w14:paraId="114AD508" w14:textId="692BEA18" w:rsidR="004533C4" w:rsidRPr="00155EF4" w:rsidRDefault="004533C4" w:rsidP="00DF4143">
            <w:pPr>
              <w:spacing w:before="40"/>
              <w:rPr>
                <w:rFonts w:cs="Angsana New"/>
                <w:b/>
                <w:bCs/>
                <w:szCs w:val="30"/>
                <w:lang w:bidi="th-TH"/>
              </w:rPr>
            </w:pPr>
            <w:r w:rsidRPr="00AB76C8">
              <w:rPr>
                <w:b/>
                <w:bCs/>
                <w:lang w:val="fr-FR"/>
              </w:rPr>
              <w:t>APG23-4/</w:t>
            </w:r>
            <w:r>
              <w:rPr>
                <w:b/>
                <w:bCs/>
                <w:lang w:val="fr-FR"/>
              </w:rPr>
              <w:t>OUT</w:t>
            </w:r>
            <w:r w:rsidRPr="00AB76C8">
              <w:rPr>
                <w:b/>
                <w:bCs/>
                <w:lang w:val="fr-FR"/>
              </w:rPr>
              <w:t>-</w:t>
            </w:r>
            <w:r>
              <w:rPr>
                <w:b/>
                <w:bCs/>
                <w:lang w:val="fr-FR"/>
              </w:rPr>
              <w:t>32</w:t>
            </w:r>
          </w:p>
          <w:p w14:paraId="7EDB4CB3" w14:textId="70B5B1CB" w:rsidR="004533C4" w:rsidRPr="00AB76C8" w:rsidRDefault="00D20C13" w:rsidP="00DF4143">
            <w:pPr>
              <w:rPr>
                <w:b/>
                <w:bCs/>
                <w:lang w:val="en-GB"/>
              </w:rPr>
            </w:pPr>
            <w:r>
              <w:rPr>
                <w:b/>
                <w:bCs/>
                <w:lang w:val="en-GB"/>
              </w:rPr>
              <w:t>(Rev.1)</w:t>
            </w:r>
          </w:p>
        </w:tc>
      </w:tr>
      <w:tr w:rsidR="004533C4" w:rsidRPr="00AB76C8" w14:paraId="550DE15D" w14:textId="77777777" w:rsidTr="00DF4143">
        <w:trPr>
          <w:cantSplit/>
          <w:trHeight w:val="288"/>
        </w:trPr>
        <w:tc>
          <w:tcPr>
            <w:tcW w:w="1399" w:type="dxa"/>
            <w:vMerge/>
          </w:tcPr>
          <w:p w14:paraId="15585122" w14:textId="77777777" w:rsidR="004533C4" w:rsidRPr="00AB76C8" w:rsidRDefault="004533C4" w:rsidP="00DF4143">
            <w:pPr>
              <w:rPr>
                <w:lang w:val="en-GB"/>
              </w:rPr>
            </w:pPr>
          </w:p>
        </w:tc>
        <w:tc>
          <w:tcPr>
            <w:tcW w:w="5760" w:type="dxa"/>
            <w:vAlign w:val="bottom"/>
          </w:tcPr>
          <w:p w14:paraId="782D4EC7" w14:textId="77777777" w:rsidR="004533C4" w:rsidRPr="00AB76C8" w:rsidRDefault="004533C4" w:rsidP="00DF4143">
            <w:pPr>
              <w:spacing w:before="40"/>
              <w:rPr>
                <w:b/>
              </w:rPr>
            </w:pPr>
            <w:r w:rsidRPr="00AB76C8">
              <w:t>15 – 20 August 2022, Bangkok, Thailand</w:t>
            </w:r>
          </w:p>
        </w:tc>
        <w:tc>
          <w:tcPr>
            <w:tcW w:w="2160" w:type="dxa"/>
            <w:vAlign w:val="bottom"/>
          </w:tcPr>
          <w:p w14:paraId="7D3428CB" w14:textId="77777777" w:rsidR="004533C4" w:rsidRPr="00AB76C8" w:rsidRDefault="004533C4" w:rsidP="00DF4143">
            <w:pPr>
              <w:spacing w:before="40"/>
              <w:rPr>
                <w:bCs/>
              </w:rPr>
            </w:pPr>
            <w:r>
              <w:rPr>
                <w:bCs/>
              </w:rPr>
              <w:t>20 August</w:t>
            </w:r>
            <w:r w:rsidRPr="00AB76C8">
              <w:rPr>
                <w:bCs/>
              </w:rPr>
              <w:t xml:space="preserve"> 2022</w:t>
            </w:r>
          </w:p>
        </w:tc>
      </w:tr>
    </w:tbl>
    <w:p w14:paraId="108BA31A" w14:textId="77777777" w:rsidR="004533C4" w:rsidRPr="00E75BCE" w:rsidRDefault="004533C4" w:rsidP="004533C4">
      <w:pPr>
        <w:rPr>
          <w:rFonts w:cstheme="minorBidi"/>
          <w:color w:val="000000" w:themeColor="text1"/>
          <w:szCs w:val="30"/>
          <w:lang w:bidi="th-TH"/>
        </w:rPr>
      </w:pPr>
    </w:p>
    <w:p w14:paraId="57FCC8A7" w14:textId="77777777" w:rsidR="004533C4" w:rsidRPr="00C45955" w:rsidRDefault="004533C4" w:rsidP="004533C4">
      <w:pPr>
        <w:jc w:val="center"/>
        <w:rPr>
          <w:color w:val="000000" w:themeColor="text1"/>
          <w:lang w:val="en-NZ" w:eastAsia="ko-KR"/>
        </w:rPr>
      </w:pPr>
      <w:r>
        <w:rPr>
          <w:color w:val="000000" w:themeColor="text1"/>
          <w:lang w:val="en-NZ" w:eastAsia="ko-KR"/>
        </w:rPr>
        <w:t>Working Party 4</w:t>
      </w:r>
    </w:p>
    <w:p w14:paraId="17AA8EF4" w14:textId="77777777" w:rsidR="004533C4" w:rsidRPr="00C45955" w:rsidRDefault="004533C4" w:rsidP="004533C4">
      <w:pPr>
        <w:jc w:val="center"/>
        <w:rPr>
          <w:bCs/>
          <w:caps/>
          <w:color w:val="000000" w:themeColor="text1"/>
          <w:lang w:val="en-NZ"/>
        </w:rPr>
      </w:pPr>
    </w:p>
    <w:p w14:paraId="10C124D5" w14:textId="053AE9C8" w:rsidR="00B64A60" w:rsidRPr="00441526" w:rsidRDefault="004533C4" w:rsidP="004533C4">
      <w:pPr>
        <w:jc w:val="center"/>
        <w:rPr>
          <w:b/>
          <w:bCs/>
          <w:caps/>
          <w:lang w:val="en-NZ"/>
        </w:rPr>
      </w:pPr>
      <w:r w:rsidRPr="00C45955">
        <w:rPr>
          <w:b/>
          <w:bCs/>
          <w:caps/>
          <w:color w:val="000000" w:themeColor="text1"/>
          <w:lang w:val="en-NZ"/>
        </w:rPr>
        <w:t xml:space="preserve">PRELIMINARY </w:t>
      </w:r>
      <w:r w:rsidR="00B64A60" w:rsidRPr="00441526">
        <w:rPr>
          <w:b/>
          <w:bCs/>
          <w:caps/>
          <w:lang w:val="en-NZ"/>
        </w:rPr>
        <w:t>VIEWs on WRC-</w:t>
      </w:r>
      <w:r w:rsidR="007F0AE6">
        <w:rPr>
          <w:b/>
          <w:bCs/>
          <w:caps/>
          <w:lang w:val="en-NZ"/>
        </w:rPr>
        <w:t>23</w:t>
      </w:r>
      <w:r w:rsidR="00B64A60" w:rsidRPr="00441526">
        <w:rPr>
          <w:b/>
          <w:bCs/>
          <w:caps/>
          <w:lang w:val="en-NZ"/>
        </w:rPr>
        <w:t xml:space="preserve"> agenda item 1.</w:t>
      </w:r>
      <w:r w:rsidR="008B4D5F">
        <w:rPr>
          <w:b/>
          <w:bCs/>
          <w:caps/>
          <w:lang w:val="en-NZ"/>
        </w:rPr>
        <w:t>19</w:t>
      </w:r>
    </w:p>
    <w:p w14:paraId="5CAEC656" w14:textId="77777777" w:rsidR="00B64A60" w:rsidRPr="00441526" w:rsidRDefault="00B64A60" w:rsidP="00264566">
      <w:pPr>
        <w:spacing w:after="120"/>
        <w:rPr>
          <w:lang w:val="en-NZ"/>
        </w:rPr>
      </w:pPr>
    </w:p>
    <w:p w14:paraId="37FBAB9B" w14:textId="52AF40B9" w:rsidR="002A0111" w:rsidRPr="00441526" w:rsidRDefault="002A0111" w:rsidP="002A0111">
      <w:pPr>
        <w:spacing w:after="120"/>
        <w:jc w:val="both"/>
        <w:rPr>
          <w:lang w:val="en-NZ"/>
        </w:rPr>
      </w:pPr>
      <w:r w:rsidRPr="00441526">
        <w:rPr>
          <w:b/>
          <w:lang w:val="en-NZ"/>
        </w:rPr>
        <w:t>Agenda Item 1.</w:t>
      </w:r>
      <w:r w:rsidR="008B4D5F">
        <w:rPr>
          <w:b/>
          <w:lang w:val="en-NZ"/>
        </w:rPr>
        <w:t>19</w:t>
      </w:r>
      <w:r w:rsidRPr="00441526">
        <w:rPr>
          <w:b/>
          <w:lang w:val="en-NZ"/>
        </w:rPr>
        <w:t xml:space="preserve">: </w:t>
      </w:r>
    </w:p>
    <w:p w14:paraId="540D0D08" w14:textId="13B9BF74" w:rsidR="008B4D5F" w:rsidRPr="00441526" w:rsidRDefault="008B4D5F" w:rsidP="002A0111">
      <w:pPr>
        <w:spacing w:after="120"/>
        <w:jc w:val="both"/>
        <w:rPr>
          <w:i/>
          <w:lang w:val="en-NZ"/>
        </w:rPr>
      </w:pPr>
      <w:r w:rsidRPr="0012124C">
        <w:rPr>
          <w:i/>
          <w:lang w:val="en-NZ"/>
        </w:rPr>
        <w:t xml:space="preserve">to consider a new primary allocation to the fixed-satellite service in the space-to-Earth direction in the frequency band 17.3-17.7 GHz in Region 2, while protecting existing primary services in the band, in accordance with Resolution </w:t>
      </w:r>
      <w:r w:rsidRPr="00906F27">
        <w:rPr>
          <w:b/>
          <w:bCs/>
          <w:i/>
          <w:lang w:val="en-NZ"/>
        </w:rPr>
        <w:t>174 (WRC 19).</w:t>
      </w:r>
    </w:p>
    <w:p w14:paraId="29544699" w14:textId="77777777" w:rsidR="002A0111" w:rsidRPr="00441526" w:rsidRDefault="002A0111" w:rsidP="002A0111">
      <w:pPr>
        <w:jc w:val="both"/>
        <w:rPr>
          <w:lang w:val="en-NZ"/>
        </w:rPr>
      </w:pPr>
    </w:p>
    <w:p w14:paraId="21252C6F"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0FA5D033" w14:textId="2C95F92F" w:rsidR="00606B7B" w:rsidRDefault="00606B7B" w:rsidP="00606B7B">
      <w:pPr>
        <w:jc w:val="both"/>
        <w:rPr>
          <w:lang w:val="en-NZ"/>
        </w:rPr>
      </w:pPr>
      <w:r w:rsidRPr="00906F27">
        <w:rPr>
          <w:lang w:val="en-NZ"/>
        </w:rPr>
        <w:t xml:space="preserve">WRC-23 agenda item 1.19, in accordance with Resolution </w:t>
      </w:r>
      <w:r w:rsidRPr="00746576">
        <w:rPr>
          <w:b/>
          <w:bCs/>
          <w:lang w:val="en-NZ"/>
        </w:rPr>
        <w:t>174 (WRC-19)</w:t>
      </w:r>
      <w:r w:rsidRPr="00906F27">
        <w:rPr>
          <w:lang w:val="en-NZ"/>
        </w:rPr>
        <w:t xml:space="preserve">, invites ITU-R Sector to conduct, and complete in time for WRC-23, sharing and compatibility studies between the </w:t>
      </w:r>
      <w:bookmarkStart w:id="0" w:name="_Hlk65488639"/>
      <w:r w:rsidRPr="00906F27">
        <w:rPr>
          <w:lang w:val="en-NZ"/>
        </w:rPr>
        <w:t xml:space="preserve">FSS (space-to-Earth) </w:t>
      </w:r>
      <w:bookmarkEnd w:id="0"/>
      <w:r w:rsidRPr="00906F27">
        <w:rPr>
          <w:lang w:val="en-NZ"/>
        </w:rPr>
        <w:t xml:space="preserve">and the BSS </w:t>
      </w:r>
      <w:bookmarkStart w:id="1" w:name="_Hlk65488656"/>
      <w:r w:rsidRPr="00906F27">
        <w:rPr>
          <w:lang w:val="en-NZ"/>
        </w:rPr>
        <w:t xml:space="preserve">(space-to-Earth) </w:t>
      </w:r>
      <w:bookmarkEnd w:id="1"/>
      <w:r w:rsidRPr="00906F27">
        <w:rPr>
          <w:lang w:val="en-NZ"/>
        </w:rPr>
        <w:t xml:space="preserve">and between the </w:t>
      </w:r>
      <w:bookmarkStart w:id="2" w:name="_Hlk65488683"/>
      <w:r w:rsidRPr="00906F27">
        <w:rPr>
          <w:lang w:val="en-NZ"/>
        </w:rPr>
        <w:t>FSS (space-to-Earth) and the FSS (Earth-to-space)</w:t>
      </w:r>
      <w:bookmarkEnd w:id="2"/>
      <w:r w:rsidRPr="00906F27">
        <w:rPr>
          <w:lang w:val="en-NZ"/>
        </w:rPr>
        <w:t>, in order to consider a possible new primary allocation to the FSS (space-to-Earth) in the frequency band 17.3-17.7 GHz for Region 2, while ensuring the protection of existing primary allocations in the same and adjacent frequency bands, as appropriate, and without imposing any additional constraints on existing allocations to the BSS (space-to-Earth) and the FSS (Earth-to-space).</w:t>
      </w:r>
    </w:p>
    <w:p w14:paraId="108545B0" w14:textId="77777777" w:rsidR="00055FC7" w:rsidRDefault="00055FC7" w:rsidP="00606B7B">
      <w:pPr>
        <w:jc w:val="both"/>
        <w:rPr>
          <w:lang w:val="en-NZ"/>
        </w:rPr>
      </w:pPr>
    </w:p>
    <w:p w14:paraId="6AB50B20" w14:textId="3035A887" w:rsidR="00AC7365" w:rsidRDefault="00055FC7" w:rsidP="00606B7B">
      <w:pPr>
        <w:jc w:val="both"/>
        <w:rPr>
          <w:lang w:val="en-NZ"/>
        </w:rPr>
      </w:pPr>
      <w:r w:rsidRPr="00055FC7">
        <w:rPr>
          <w:lang w:val="en-NZ"/>
        </w:rPr>
        <w:t>Progress of ITU-R on-going studies:</w:t>
      </w:r>
    </w:p>
    <w:p w14:paraId="158F17CA" w14:textId="77777777" w:rsidR="00055FC7" w:rsidRPr="00055FC7" w:rsidRDefault="00055FC7" w:rsidP="00606B7B">
      <w:pPr>
        <w:jc w:val="both"/>
        <w:rPr>
          <w:lang w:val="en-NZ"/>
        </w:rPr>
      </w:pPr>
    </w:p>
    <w:p w14:paraId="5A6F9234" w14:textId="5A807D30" w:rsidR="00606B7B" w:rsidRDefault="00606B7B" w:rsidP="00606B7B">
      <w:pPr>
        <w:jc w:val="both"/>
        <w:rPr>
          <w:lang w:val="en-NZ"/>
        </w:rPr>
      </w:pPr>
      <w:r w:rsidRPr="00606B7B">
        <w:rPr>
          <w:lang w:val="en-NZ"/>
        </w:rPr>
        <w:t>The 6th Working Party (WP) 4A meetings in May 2022 updated two documents related to WRC-23 agenda item 1.19:</w:t>
      </w:r>
    </w:p>
    <w:p w14:paraId="0E4F8C42" w14:textId="7F20A9ED" w:rsidR="00606B7B" w:rsidRDefault="00606B7B" w:rsidP="00606B7B">
      <w:pPr>
        <w:numPr>
          <w:ilvl w:val="1"/>
          <w:numId w:val="23"/>
        </w:numPr>
        <w:spacing w:after="120"/>
        <w:ind w:left="284" w:hanging="284"/>
        <w:jc w:val="both"/>
        <w:textAlignment w:val="baseline"/>
        <w:rPr>
          <w:rFonts w:eastAsia="Times New Roman" w:cstheme="minorHAnsi"/>
          <w:color w:val="000000"/>
        </w:rPr>
      </w:pPr>
      <w:r>
        <w:rPr>
          <w:rFonts w:eastAsia="Times New Roman" w:cstheme="minorHAnsi"/>
          <w:color w:val="000000"/>
        </w:rPr>
        <w:t xml:space="preserve">Preliminary </w:t>
      </w:r>
      <w:r w:rsidRPr="00561098">
        <w:rPr>
          <w:rFonts w:eastAsia="Times New Roman" w:cstheme="minorHAnsi"/>
          <w:color w:val="000000"/>
        </w:rPr>
        <w:t>Draft CPM Text for WRC-23 Agenda Item 1.19</w:t>
      </w:r>
      <w:r>
        <w:rPr>
          <w:rFonts w:eastAsia="Times New Roman" w:cstheme="minorHAnsi"/>
          <w:color w:val="000000"/>
        </w:rPr>
        <w:t>.</w:t>
      </w:r>
    </w:p>
    <w:p w14:paraId="0D6412DB" w14:textId="7CCCF734" w:rsidR="00463ECF" w:rsidRPr="00463ECF" w:rsidRDefault="00463ECF" w:rsidP="00463ECF">
      <w:pPr>
        <w:spacing w:after="120"/>
        <w:ind w:left="284"/>
        <w:jc w:val="both"/>
        <w:textAlignment w:val="baseline"/>
        <w:rPr>
          <w:rFonts w:eastAsia="Times New Roman" w:cstheme="minorHAnsi"/>
          <w:color w:val="000000"/>
        </w:rPr>
      </w:pPr>
      <w:r>
        <w:rPr>
          <w:rFonts w:eastAsia="Times New Roman" w:cstheme="minorHAnsi"/>
          <w:color w:val="000000"/>
        </w:rPr>
        <w:t xml:space="preserve">The </w:t>
      </w:r>
      <w:proofErr w:type="gramStart"/>
      <w:r>
        <w:rPr>
          <w:rFonts w:eastAsia="Times New Roman" w:cstheme="minorHAnsi"/>
          <w:color w:val="000000"/>
        </w:rPr>
        <w:t>updates</w:t>
      </w:r>
      <w:proofErr w:type="gramEnd"/>
      <w:r>
        <w:rPr>
          <w:rFonts w:eastAsia="Times New Roman" w:cstheme="minorHAnsi"/>
          <w:color w:val="000000"/>
        </w:rPr>
        <w:t xml:space="preserve"> regarding this document includes t</w:t>
      </w:r>
      <w:r w:rsidRPr="00463ECF">
        <w:rPr>
          <w:rFonts w:eastAsia="Times New Roman" w:cstheme="minorHAnsi"/>
          <w:color w:val="000000"/>
        </w:rPr>
        <w:t>he summary and analysis of the sharing and compatibility studies</w:t>
      </w:r>
      <w:r>
        <w:rPr>
          <w:rFonts w:eastAsia="Times New Roman" w:cstheme="minorHAnsi"/>
          <w:color w:val="000000"/>
        </w:rPr>
        <w:t>, t</w:t>
      </w:r>
      <w:r w:rsidRPr="00463ECF">
        <w:rPr>
          <w:rFonts w:eastAsia="Times New Roman" w:cstheme="minorHAnsi"/>
          <w:color w:val="000000"/>
        </w:rPr>
        <w:t xml:space="preserve">he </w:t>
      </w:r>
      <w:r w:rsidRPr="00463ECF">
        <w:rPr>
          <w:rStyle w:val="Strong"/>
          <w:rFonts w:eastAsia="Times New Roman"/>
          <w:b w:val="0"/>
          <w:bCs w:val="0"/>
          <w:color w:val="000000" w:themeColor="text1"/>
        </w:rPr>
        <w:t>relevant ITU R Recommendations and Reports as reference</w:t>
      </w:r>
      <w:r>
        <w:rPr>
          <w:rStyle w:val="Strong"/>
          <w:rFonts w:eastAsia="Times New Roman"/>
          <w:b w:val="0"/>
          <w:bCs w:val="0"/>
          <w:color w:val="000000" w:themeColor="text1"/>
        </w:rPr>
        <w:t>, and t</w:t>
      </w:r>
      <w:r w:rsidRPr="00463ECF">
        <w:rPr>
          <w:rFonts w:cstheme="minorHAnsi"/>
        </w:rPr>
        <w:t xml:space="preserve">he </w:t>
      </w:r>
      <w:r w:rsidRPr="00463ECF">
        <w:rPr>
          <w:rFonts w:eastAsia="Times New Roman" w:cstheme="minorHAnsi"/>
          <w:color w:val="000000"/>
        </w:rPr>
        <w:t>methods to satisfy agenda item 1.19. The two proposed methods are:</w:t>
      </w:r>
    </w:p>
    <w:p w14:paraId="0ED2C236" w14:textId="2AE240FA" w:rsidR="00463ECF" w:rsidRDefault="00463ECF" w:rsidP="00AC7365">
      <w:pPr>
        <w:spacing w:after="120"/>
        <w:ind w:left="284"/>
        <w:jc w:val="both"/>
        <w:textAlignment w:val="baseline"/>
        <w:rPr>
          <w:rFonts w:eastAsia="Times New Roman" w:cstheme="minorHAnsi"/>
          <w:color w:val="000000"/>
        </w:rPr>
      </w:pPr>
      <w:r w:rsidRPr="00AC7365">
        <w:rPr>
          <w:rFonts w:eastAsia="Times New Roman" w:cstheme="minorHAnsi"/>
          <w:b/>
          <w:bCs/>
          <w:color w:val="000000"/>
        </w:rPr>
        <w:t>Method A</w:t>
      </w:r>
      <w:r w:rsidR="00AC7365">
        <w:rPr>
          <w:rFonts w:eastAsia="Times New Roman" w:cstheme="minorHAnsi"/>
          <w:color w:val="000000"/>
        </w:rPr>
        <w:t xml:space="preserve">: </w:t>
      </w:r>
      <w:r w:rsidRPr="006A3D3A">
        <w:rPr>
          <w:rFonts w:eastAsia="Times New Roman" w:cstheme="minorHAnsi"/>
          <w:color w:val="000000"/>
        </w:rPr>
        <w:t>Under this method,</w:t>
      </w:r>
      <w:r>
        <w:rPr>
          <w:rFonts w:eastAsia="Times New Roman" w:cstheme="minorHAnsi"/>
          <w:color w:val="000000"/>
        </w:rPr>
        <w:t xml:space="preserve"> no change is proposed to the RR and suppression of Resolution </w:t>
      </w:r>
      <w:r w:rsidRPr="006F07D4">
        <w:rPr>
          <w:rFonts w:eastAsia="Times New Roman" w:cstheme="minorHAnsi"/>
          <w:b/>
          <w:bCs/>
          <w:color w:val="000000"/>
        </w:rPr>
        <w:t>174 (WRC-19)</w:t>
      </w:r>
      <w:r w:rsidRPr="00AC7365">
        <w:rPr>
          <w:rFonts w:eastAsia="Times New Roman" w:cstheme="minorHAnsi"/>
          <w:color w:val="000000"/>
        </w:rPr>
        <w:t>.</w:t>
      </w:r>
    </w:p>
    <w:p w14:paraId="2323DE23" w14:textId="44E37815" w:rsidR="00606B7B" w:rsidRPr="00AC7365" w:rsidRDefault="00463ECF" w:rsidP="00AC7365">
      <w:pPr>
        <w:spacing w:after="120"/>
        <w:ind w:left="284"/>
        <w:jc w:val="both"/>
        <w:textAlignment w:val="baseline"/>
        <w:rPr>
          <w:rFonts w:eastAsia="Times New Roman" w:cstheme="minorHAnsi"/>
          <w:color w:val="000000"/>
        </w:rPr>
      </w:pPr>
      <w:r w:rsidRPr="00AC7365">
        <w:rPr>
          <w:rFonts w:eastAsia="Times New Roman" w:cstheme="minorHAnsi"/>
          <w:b/>
          <w:bCs/>
          <w:color w:val="000000"/>
        </w:rPr>
        <w:t>Method B</w:t>
      </w:r>
      <w:r w:rsidR="00AC7365">
        <w:rPr>
          <w:rFonts w:eastAsia="Times New Roman" w:cstheme="minorHAnsi"/>
          <w:color w:val="000000"/>
        </w:rPr>
        <w:t xml:space="preserve">: </w:t>
      </w:r>
      <w:r w:rsidRPr="00AC7365">
        <w:rPr>
          <w:rFonts w:eastAsia="Times New Roman" w:cstheme="minorHAnsi"/>
          <w:color w:val="000000"/>
        </w:rPr>
        <w:t>Modify footnotes in RR Article 5 that refers to the allocation of the frequency band 17.3-17.7 GHz in Region 2 to the fixed-satellite service in the space-to-Earth direction.</w:t>
      </w:r>
    </w:p>
    <w:p w14:paraId="12705815" w14:textId="3C435BAC" w:rsidR="00606B7B" w:rsidRPr="00606B7B" w:rsidRDefault="00606B7B" w:rsidP="00606B7B">
      <w:pPr>
        <w:numPr>
          <w:ilvl w:val="1"/>
          <w:numId w:val="23"/>
        </w:numPr>
        <w:spacing w:after="120"/>
        <w:ind w:left="284" w:hanging="284"/>
        <w:jc w:val="both"/>
        <w:textAlignment w:val="baseline"/>
        <w:rPr>
          <w:rFonts w:eastAsia="Times New Roman" w:cstheme="minorHAnsi"/>
          <w:color w:val="000000"/>
        </w:rPr>
      </w:pPr>
      <w:r w:rsidRPr="009647D6">
        <w:rPr>
          <w:rFonts w:eastAsia="Times New Roman" w:cstheme="minorHAnsi"/>
          <w:color w:val="000000"/>
        </w:rPr>
        <w:t xml:space="preserve">Working Document on WRC-23 Agenda Item 1.19. </w:t>
      </w:r>
    </w:p>
    <w:p w14:paraId="4F76C04F" w14:textId="10065505" w:rsidR="00463ECF" w:rsidRDefault="00463ECF" w:rsidP="00463ECF">
      <w:pPr>
        <w:spacing w:after="120"/>
        <w:ind w:left="284"/>
        <w:jc w:val="both"/>
        <w:textAlignment w:val="baseline"/>
        <w:rPr>
          <w:rFonts w:eastAsia="Times New Roman" w:cstheme="minorHAnsi"/>
          <w:color w:val="000000"/>
        </w:rPr>
      </w:pPr>
      <w:r w:rsidRPr="00463ECF">
        <w:rPr>
          <w:rFonts w:eastAsia="Times New Roman" w:cstheme="minorHAnsi"/>
          <w:color w:val="000000"/>
        </w:rPr>
        <w:t xml:space="preserve">This document includes input documents received at the Feb/Mar 2021, July 2021, Oct/Nov </w:t>
      </w:r>
      <w:proofErr w:type="gramStart"/>
      <w:r w:rsidRPr="00463ECF">
        <w:rPr>
          <w:rFonts w:eastAsia="Times New Roman" w:cstheme="minorHAnsi"/>
          <w:color w:val="000000"/>
        </w:rPr>
        <w:t>2021</w:t>
      </w:r>
      <w:proofErr w:type="gramEnd"/>
      <w:r w:rsidRPr="00463ECF">
        <w:rPr>
          <w:rFonts w:eastAsia="Times New Roman" w:cstheme="minorHAnsi"/>
          <w:color w:val="000000"/>
        </w:rPr>
        <w:t xml:space="preserve"> and May 2022 meetings of WP 4A. This document was presented and discussed to some extent, however it should be carefully reviewed, </w:t>
      </w:r>
      <w:proofErr w:type="gramStart"/>
      <w:r w:rsidRPr="00463ECF">
        <w:rPr>
          <w:rFonts w:eastAsia="Times New Roman" w:cstheme="minorHAnsi"/>
          <w:color w:val="000000"/>
        </w:rPr>
        <w:t>analyzed</w:t>
      </w:r>
      <w:proofErr w:type="gramEnd"/>
      <w:r w:rsidRPr="00463ECF">
        <w:rPr>
          <w:rFonts w:eastAsia="Times New Roman" w:cstheme="minorHAnsi"/>
          <w:color w:val="000000"/>
        </w:rPr>
        <w:t xml:space="preserve"> and agreed upon at future meetings of WP 4.</w:t>
      </w:r>
      <w:r>
        <w:rPr>
          <w:rFonts w:eastAsia="Times New Roman" w:cstheme="minorHAnsi"/>
          <w:color w:val="000000"/>
        </w:rPr>
        <w:t xml:space="preserve"> Several sharing and compatibility studies were updated</w:t>
      </w:r>
      <w:r w:rsidR="00AC7365">
        <w:rPr>
          <w:rFonts w:eastAsia="Times New Roman" w:cstheme="minorHAnsi"/>
          <w:color w:val="000000"/>
        </w:rPr>
        <w:t>, such as Study 7, 9, 10, 12, 13, 14, 15, 20, 21, 22, 23, 24, and 25.</w:t>
      </w:r>
    </w:p>
    <w:p w14:paraId="4AF90BC1" w14:textId="77777777" w:rsidR="00AC7365" w:rsidRDefault="00AC7365" w:rsidP="00463ECF">
      <w:pPr>
        <w:jc w:val="both"/>
        <w:rPr>
          <w:lang w:val="en-NZ"/>
        </w:rPr>
      </w:pPr>
    </w:p>
    <w:p w14:paraId="43BB700A" w14:textId="5598FDFD" w:rsidR="00463ECF" w:rsidRDefault="00463ECF" w:rsidP="00463ECF">
      <w:pPr>
        <w:jc w:val="both"/>
        <w:rPr>
          <w:lang w:val="en-NZ"/>
        </w:rPr>
      </w:pPr>
      <w:r w:rsidRPr="00463ECF">
        <w:rPr>
          <w:lang w:val="en-NZ"/>
        </w:rPr>
        <w:t>The next scheduled Working Party 4A meetings in September 2022 (WP 4A 7th) will focus on finalizing the draft CPM text.</w:t>
      </w:r>
    </w:p>
    <w:p w14:paraId="6954C626" w14:textId="77777777" w:rsidR="00AC7365" w:rsidRPr="00463ECF" w:rsidRDefault="00AC7365" w:rsidP="00463ECF">
      <w:pPr>
        <w:jc w:val="both"/>
        <w:rPr>
          <w:lang w:val="en-NZ"/>
        </w:rPr>
      </w:pPr>
    </w:p>
    <w:p w14:paraId="6684C59B" w14:textId="2D906492" w:rsidR="002A0111" w:rsidRDefault="00463ECF" w:rsidP="002A0111">
      <w:pPr>
        <w:jc w:val="both"/>
        <w:rPr>
          <w:lang w:val="en-NZ"/>
        </w:rPr>
      </w:pPr>
      <w:r w:rsidRPr="00463ECF">
        <w:rPr>
          <w:lang w:val="en-NZ"/>
        </w:rPr>
        <w:lastRenderedPageBreak/>
        <w:t>The Working Party (WP) 4A Correspondence Group on WRC-23 agenda item 1.19 (CG#4) will have no meetings between the 6th and 7th WP 4A meetings.</w:t>
      </w:r>
    </w:p>
    <w:p w14:paraId="176EF3C2" w14:textId="77777777" w:rsidR="00055FC7" w:rsidRPr="00441526" w:rsidRDefault="00055FC7" w:rsidP="002A0111">
      <w:pPr>
        <w:jc w:val="both"/>
        <w:rPr>
          <w:lang w:val="en-NZ"/>
        </w:rPr>
      </w:pPr>
    </w:p>
    <w:p w14:paraId="1F01208F" w14:textId="325A6B3B" w:rsidR="00AC7365" w:rsidRPr="00AC7365" w:rsidRDefault="002A0111" w:rsidP="00AC7365">
      <w:pPr>
        <w:spacing w:after="120"/>
        <w:jc w:val="both"/>
        <w:rPr>
          <w:b/>
          <w:lang w:val="en-NZ" w:eastAsia="ko-KR"/>
        </w:rPr>
      </w:pPr>
      <w:r w:rsidRPr="00441526">
        <w:rPr>
          <w:b/>
          <w:lang w:val="en-NZ" w:eastAsia="ko-KR"/>
        </w:rPr>
        <w:t xml:space="preserve">2. </w:t>
      </w:r>
      <w:r w:rsidRPr="00441526">
        <w:rPr>
          <w:b/>
          <w:lang w:val="en-NZ" w:eastAsia="ko-KR"/>
        </w:rPr>
        <w:tab/>
        <w:t>Documents</w:t>
      </w:r>
    </w:p>
    <w:p w14:paraId="1AD79D14" w14:textId="77777777" w:rsidR="00BF4446" w:rsidRPr="00BF4446" w:rsidRDefault="00C1147F" w:rsidP="00BF4446">
      <w:pPr>
        <w:pStyle w:val="ListParagraph"/>
        <w:numPr>
          <w:ilvl w:val="0"/>
          <w:numId w:val="18"/>
        </w:numPr>
        <w:ind w:left="426" w:hanging="426"/>
        <w:jc w:val="both"/>
      </w:pPr>
      <w:r w:rsidRPr="00441526">
        <w:rPr>
          <w:lang w:val="en-NZ"/>
        </w:rPr>
        <w:t>Input Documents</w:t>
      </w:r>
      <w:r>
        <w:rPr>
          <w:lang w:val="en-NZ"/>
        </w:rPr>
        <w:t>:</w:t>
      </w:r>
      <w:r w:rsidRPr="00441526">
        <w:rPr>
          <w:lang w:val="en-NZ"/>
        </w:rPr>
        <w:t xml:space="preserve"> APG</w:t>
      </w:r>
      <w:r>
        <w:rPr>
          <w:lang w:val="en-NZ"/>
        </w:rPr>
        <w:t>23</w:t>
      </w:r>
      <w:r w:rsidRPr="00441526">
        <w:rPr>
          <w:lang w:val="en-NZ"/>
        </w:rPr>
        <w:t>-</w:t>
      </w:r>
      <w:r>
        <w:rPr>
          <w:lang w:val="en-NZ"/>
        </w:rPr>
        <w:t>3</w:t>
      </w:r>
      <w:r w:rsidRPr="00441526">
        <w:rPr>
          <w:lang w:val="en-NZ"/>
        </w:rPr>
        <w:t>/</w:t>
      </w:r>
      <w:r>
        <w:rPr>
          <w:lang w:val="en-NZ"/>
        </w:rPr>
        <w:t>INP-</w:t>
      </w:r>
      <w:hyperlink r:id="rId9" w:history="1">
        <w:r w:rsidRPr="0005536A">
          <w:rPr>
            <w:rStyle w:val="Hyperlink"/>
            <w:rFonts w:eastAsiaTheme="minorEastAsia"/>
            <w:lang w:eastAsia="ja-JP"/>
          </w:rPr>
          <w:t>10</w:t>
        </w:r>
      </w:hyperlink>
      <w:r w:rsidRPr="0005536A">
        <w:rPr>
          <w:rFonts w:eastAsiaTheme="minorEastAsia"/>
          <w:lang w:eastAsia="ja-JP"/>
        </w:rPr>
        <w:t xml:space="preserve">(J), </w:t>
      </w:r>
      <w:r>
        <w:rPr>
          <w:rFonts w:eastAsiaTheme="minorEastAsia"/>
          <w:lang w:eastAsia="ja-JP"/>
        </w:rPr>
        <w:t>INP-</w:t>
      </w:r>
      <w:hyperlink r:id="rId10" w:history="1">
        <w:r w:rsidRPr="0005536A">
          <w:rPr>
            <w:rStyle w:val="Hyperlink"/>
            <w:rFonts w:eastAsiaTheme="minorEastAsia"/>
            <w:lang w:eastAsia="ja-JP"/>
          </w:rPr>
          <w:t>17</w:t>
        </w:r>
      </w:hyperlink>
      <w:r w:rsidRPr="0005536A">
        <w:rPr>
          <w:rFonts w:eastAsiaTheme="minorEastAsia"/>
          <w:lang w:eastAsia="ja-JP"/>
        </w:rPr>
        <w:t xml:space="preserve">(AUS), </w:t>
      </w:r>
      <w:r>
        <w:rPr>
          <w:rFonts w:eastAsiaTheme="minorEastAsia"/>
          <w:lang w:eastAsia="ja-JP"/>
        </w:rPr>
        <w:t>INP-</w:t>
      </w:r>
      <w:hyperlink r:id="rId11" w:history="1">
        <w:r w:rsidRPr="0005536A">
          <w:rPr>
            <w:rStyle w:val="Hyperlink"/>
            <w:rFonts w:eastAsiaTheme="minorEastAsia"/>
            <w:lang w:eastAsia="ja-JP"/>
          </w:rPr>
          <w:t>22</w:t>
        </w:r>
      </w:hyperlink>
      <w:r w:rsidRPr="0005536A">
        <w:rPr>
          <w:rFonts w:eastAsiaTheme="minorEastAsia"/>
          <w:lang w:eastAsia="ja-JP"/>
        </w:rPr>
        <w:t xml:space="preserve">(BGD), </w:t>
      </w:r>
      <w:r>
        <w:rPr>
          <w:rFonts w:eastAsiaTheme="minorEastAsia"/>
          <w:lang w:eastAsia="ja-JP"/>
        </w:rPr>
        <w:t>INP-</w:t>
      </w:r>
      <w:hyperlink r:id="rId12" w:history="1">
        <w:r w:rsidRPr="0005536A">
          <w:rPr>
            <w:rStyle w:val="Hyperlink"/>
            <w:rFonts w:eastAsiaTheme="minorEastAsia"/>
            <w:lang w:eastAsia="ja-JP"/>
          </w:rPr>
          <w:t>26</w:t>
        </w:r>
      </w:hyperlink>
      <w:r w:rsidRPr="0005536A">
        <w:rPr>
          <w:rFonts w:eastAsiaTheme="minorEastAsia"/>
          <w:lang w:eastAsia="ja-JP"/>
        </w:rPr>
        <w:t xml:space="preserve">(IRN), </w:t>
      </w:r>
      <w:r>
        <w:rPr>
          <w:rFonts w:eastAsiaTheme="minorEastAsia"/>
          <w:lang w:eastAsia="ja-JP"/>
        </w:rPr>
        <w:t>INP-</w:t>
      </w:r>
      <w:hyperlink r:id="rId13" w:history="1">
        <w:r w:rsidRPr="0005536A">
          <w:rPr>
            <w:rStyle w:val="Hyperlink"/>
            <w:rFonts w:eastAsiaTheme="minorEastAsia"/>
            <w:lang w:eastAsia="ja-JP"/>
          </w:rPr>
          <w:t>43</w:t>
        </w:r>
      </w:hyperlink>
      <w:r w:rsidRPr="0005536A">
        <w:rPr>
          <w:rFonts w:eastAsiaTheme="minorEastAsia"/>
          <w:lang w:eastAsia="ja-JP"/>
        </w:rPr>
        <w:t xml:space="preserve">(CHN), </w:t>
      </w:r>
      <w:r>
        <w:rPr>
          <w:rFonts w:eastAsiaTheme="minorEastAsia"/>
          <w:lang w:eastAsia="ja-JP"/>
        </w:rPr>
        <w:t>INP-</w:t>
      </w:r>
      <w:hyperlink r:id="rId14" w:history="1">
        <w:r w:rsidRPr="0005536A">
          <w:rPr>
            <w:rStyle w:val="Hyperlink"/>
            <w:rFonts w:eastAsiaTheme="minorEastAsia"/>
            <w:lang w:eastAsia="ja-JP"/>
          </w:rPr>
          <w:t>64</w:t>
        </w:r>
      </w:hyperlink>
      <w:r w:rsidRPr="0005536A">
        <w:rPr>
          <w:rFonts w:eastAsiaTheme="minorEastAsia"/>
          <w:lang w:eastAsia="ja-JP"/>
        </w:rPr>
        <w:t>(</w:t>
      </w:r>
      <w:r w:rsidRPr="0005536A">
        <w:rPr>
          <w:rFonts w:eastAsiaTheme="minorEastAsia"/>
          <w:lang w:eastAsia="zh-CN"/>
        </w:rPr>
        <w:t>IND</w:t>
      </w:r>
      <w:r w:rsidRPr="0005536A">
        <w:rPr>
          <w:rFonts w:eastAsiaTheme="minorEastAsia"/>
          <w:lang w:eastAsia="ja-JP"/>
        </w:rPr>
        <w:t xml:space="preserve">), </w:t>
      </w:r>
      <w:r>
        <w:rPr>
          <w:rFonts w:eastAsiaTheme="minorEastAsia"/>
          <w:lang w:eastAsia="ja-JP"/>
        </w:rPr>
        <w:t>INP-</w:t>
      </w:r>
      <w:hyperlink r:id="rId15" w:history="1">
        <w:r w:rsidRPr="0005536A">
          <w:rPr>
            <w:rStyle w:val="Hyperlink"/>
            <w:rFonts w:eastAsiaTheme="minorEastAsia"/>
            <w:lang w:eastAsia="ja-JP"/>
          </w:rPr>
          <w:t>77</w:t>
        </w:r>
      </w:hyperlink>
      <w:r w:rsidRPr="0005536A">
        <w:rPr>
          <w:rFonts w:eastAsiaTheme="minorEastAsia"/>
          <w:lang w:eastAsia="ja-JP"/>
        </w:rPr>
        <w:t>(</w:t>
      </w:r>
      <w:r w:rsidRPr="0005536A">
        <w:rPr>
          <w:rFonts w:eastAsiaTheme="minorEastAsia"/>
          <w:lang w:eastAsia="zh-CN"/>
        </w:rPr>
        <w:t>VTN</w:t>
      </w:r>
      <w:r w:rsidRPr="0005536A">
        <w:rPr>
          <w:rFonts w:eastAsiaTheme="minorEastAsia"/>
          <w:lang w:eastAsia="ja-JP"/>
        </w:rPr>
        <w:t>)</w:t>
      </w:r>
      <w:r>
        <w:rPr>
          <w:rFonts w:eastAsiaTheme="minorEastAsia"/>
          <w:lang w:eastAsia="ja-JP"/>
        </w:rPr>
        <w:t>.</w:t>
      </w:r>
    </w:p>
    <w:p w14:paraId="7F078CA9" w14:textId="719417A8" w:rsidR="006F07D4" w:rsidRPr="006F07D4" w:rsidRDefault="00C1147F" w:rsidP="006F07D4">
      <w:pPr>
        <w:pStyle w:val="ListParagraph"/>
        <w:numPr>
          <w:ilvl w:val="0"/>
          <w:numId w:val="18"/>
        </w:numPr>
        <w:ind w:left="426" w:hanging="426"/>
        <w:jc w:val="both"/>
      </w:pPr>
      <w:r w:rsidRPr="00BF4446">
        <w:rPr>
          <w:rFonts w:eastAsiaTheme="minorEastAsia"/>
          <w:lang w:eastAsia="ja-JP"/>
        </w:rPr>
        <w:t>I</w:t>
      </w:r>
      <w:proofErr w:type="spellStart"/>
      <w:r w:rsidR="00AC7365" w:rsidRPr="00BF4446">
        <w:rPr>
          <w:lang w:val="en-NZ"/>
        </w:rPr>
        <w:t>nformation</w:t>
      </w:r>
      <w:proofErr w:type="spellEnd"/>
      <w:r w:rsidR="00AC7365" w:rsidRPr="00BF4446">
        <w:rPr>
          <w:lang w:val="en-NZ"/>
        </w:rPr>
        <w:t xml:space="preserve"> Documents: </w:t>
      </w:r>
      <w:r w:rsidR="00AC7365" w:rsidRPr="006F07D4">
        <w:rPr>
          <w:lang w:val="en-NZ"/>
        </w:rPr>
        <w:t>APG23-</w:t>
      </w:r>
      <w:r w:rsidRPr="006F07D4">
        <w:rPr>
          <w:lang w:val="en-NZ"/>
        </w:rPr>
        <w:t>4</w:t>
      </w:r>
      <w:r w:rsidR="00AC7365" w:rsidRPr="006F07D4">
        <w:rPr>
          <w:lang w:val="en-NZ"/>
        </w:rPr>
        <w:t>/</w:t>
      </w:r>
      <w:r w:rsidRPr="006F07D4">
        <w:t>INF-</w:t>
      </w:r>
      <w:hyperlink r:id="rId16" w:history="1">
        <w:r w:rsidR="006F07D4" w:rsidRPr="006F07D4">
          <w:rPr>
            <w:rStyle w:val="Hyperlink"/>
            <w:rFonts w:eastAsia="SimSun"/>
            <w:lang w:eastAsia="zh-CN"/>
          </w:rPr>
          <w:t>2</w:t>
        </w:r>
      </w:hyperlink>
      <w:r w:rsidR="006F07D4" w:rsidRPr="006F07D4">
        <w:rPr>
          <w:rFonts w:eastAsia="SimSun"/>
          <w:lang w:eastAsia="zh-CN"/>
        </w:rPr>
        <w:t>(ATU),</w:t>
      </w:r>
      <w:r w:rsidR="006F07D4" w:rsidRPr="006F07D4">
        <w:rPr>
          <w:color w:val="000000"/>
          <w:shd w:val="clear" w:color="auto" w:fill="FFFFFF"/>
        </w:rPr>
        <w:t xml:space="preserve"> INF-</w:t>
      </w:r>
      <w:hyperlink r:id="rId17" w:history="1">
        <w:r w:rsidR="006F07D4" w:rsidRPr="006F07D4">
          <w:rPr>
            <w:rStyle w:val="Hyperlink"/>
            <w:rFonts w:eastAsia="SimSun"/>
            <w:lang w:eastAsia="zh-CN"/>
          </w:rPr>
          <w:t>21</w:t>
        </w:r>
      </w:hyperlink>
      <w:r w:rsidR="006F07D4" w:rsidRPr="006F07D4">
        <w:rPr>
          <w:rFonts w:eastAsia="SimSun"/>
          <w:lang w:eastAsia="zh-CN"/>
        </w:rPr>
        <w:t>(ASMG), INF-</w:t>
      </w:r>
      <w:hyperlink r:id="rId18" w:tgtFrame="_blank" w:history="1">
        <w:r w:rsidR="006F07D4" w:rsidRPr="006F07D4">
          <w:rPr>
            <w:rStyle w:val="Hyperlink"/>
            <w:color w:val="095E54"/>
          </w:rPr>
          <w:t>28(Rev.1)</w:t>
        </w:r>
      </w:hyperlink>
      <w:r w:rsidR="006F07D4" w:rsidRPr="006F07D4">
        <w:rPr>
          <w:rFonts w:eastAsia="SimSun"/>
          <w:lang w:eastAsia="zh-CN"/>
        </w:rPr>
        <w:t>(CITEL), INF-</w:t>
      </w:r>
      <w:hyperlink r:id="rId19" w:tgtFrame="_blank" w:history="1">
        <w:r w:rsidR="006F07D4" w:rsidRPr="006F07D4">
          <w:rPr>
            <w:rStyle w:val="Hyperlink"/>
            <w:color w:val="095E54"/>
          </w:rPr>
          <w:t>38(Rev.1)</w:t>
        </w:r>
      </w:hyperlink>
      <w:r w:rsidR="006F07D4" w:rsidRPr="006F07D4">
        <w:rPr>
          <w:rFonts w:eastAsia="SimSun"/>
          <w:lang w:eastAsia="zh-CN"/>
        </w:rPr>
        <w:t>(DG Chair), INF-</w:t>
      </w:r>
      <w:hyperlink r:id="rId20" w:history="1">
        <w:r w:rsidR="006F07D4" w:rsidRPr="006F07D4">
          <w:rPr>
            <w:rStyle w:val="Hyperlink"/>
            <w:rFonts w:eastAsia="SimSun"/>
            <w:lang w:eastAsia="zh-CN"/>
          </w:rPr>
          <w:t>44</w:t>
        </w:r>
      </w:hyperlink>
      <w:r w:rsidR="006F07D4" w:rsidRPr="006F07D4">
        <w:rPr>
          <w:rFonts w:eastAsia="SimSun"/>
          <w:lang w:eastAsia="zh-CN"/>
        </w:rPr>
        <w:t>(RCC), INF-</w:t>
      </w:r>
      <w:hyperlink r:id="rId21" w:history="1">
        <w:r w:rsidR="006F07D4" w:rsidRPr="006F07D4">
          <w:rPr>
            <w:rStyle w:val="Hyperlink"/>
            <w:rFonts w:eastAsia="SimSun"/>
            <w:lang w:eastAsia="zh-CN"/>
          </w:rPr>
          <w:t>48</w:t>
        </w:r>
      </w:hyperlink>
      <w:r w:rsidR="006F07D4" w:rsidRPr="006F07D4">
        <w:rPr>
          <w:rFonts w:eastAsia="SimSun"/>
          <w:lang w:eastAsia="zh-CN"/>
        </w:rPr>
        <w:t>(CEPT).</w:t>
      </w:r>
    </w:p>
    <w:p w14:paraId="26D36DDD" w14:textId="67019384" w:rsidR="005206E9" w:rsidRPr="00C1147F" w:rsidRDefault="005206E9" w:rsidP="00C1147F">
      <w:pPr>
        <w:spacing w:after="120"/>
        <w:ind w:left="708"/>
        <w:jc w:val="both"/>
      </w:pPr>
    </w:p>
    <w:p w14:paraId="182A6C43" w14:textId="77777777" w:rsidR="002A0111" w:rsidRPr="00441526"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696638F2" w14:textId="74EF6886" w:rsidR="002A0111" w:rsidRPr="00C1147F" w:rsidRDefault="002A0111" w:rsidP="00C1147F">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1A3978D" w14:textId="12B2F6C4"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C1147F">
        <w:rPr>
          <w:b/>
          <w:lang w:val="en-NZ" w:eastAsia="ko-KR"/>
        </w:rPr>
        <w:t>Japan</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w:t>
      </w:r>
      <w:r w:rsidR="007D6CDC">
        <w:rPr>
          <w:b/>
          <w:lang w:val="en-NZ" w:eastAsia="ko-KR"/>
        </w:rPr>
        <w:t>10</w:t>
      </w:r>
    </w:p>
    <w:p w14:paraId="539D4A97" w14:textId="544356ED" w:rsidR="007D6CDC" w:rsidRPr="00441526" w:rsidRDefault="007D6CDC" w:rsidP="007D6CDC">
      <w:pPr>
        <w:ind w:left="708"/>
        <w:jc w:val="both"/>
        <w:rPr>
          <w:lang w:val="en-NZ"/>
        </w:rPr>
      </w:pPr>
      <w:r w:rsidRPr="00551169">
        <w:rPr>
          <w:lang w:val="en-NZ"/>
        </w:rPr>
        <w:t>Japan is of the view that any studies in ITU-R related to Agenda Item 1.19 needs to ensure the protection of services already allocated in the frequency band 17.3-17.7 GHz and its adjacent bands.</w:t>
      </w:r>
    </w:p>
    <w:p w14:paraId="43270B19" w14:textId="77777777" w:rsidR="002A0111" w:rsidRPr="00441526" w:rsidRDefault="002A0111" w:rsidP="003D3D47">
      <w:pPr>
        <w:jc w:val="both"/>
        <w:rPr>
          <w:lang w:val="en-NZ"/>
        </w:rPr>
      </w:pPr>
    </w:p>
    <w:p w14:paraId="4BE19BD1" w14:textId="0DBF14AD" w:rsidR="002A0111" w:rsidRPr="00D510D6" w:rsidRDefault="002A0111" w:rsidP="003D3D47">
      <w:pPr>
        <w:spacing w:after="120"/>
        <w:jc w:val="both"/>
        <w:rPr>
          <w:b/>
          <w:lang w:eastAsia="ko-KR"/>
        </w:rPr>
      </w:pPr>
      <w:r w:rsidRPr="00441526">
        <w:rPr>
          <w:b/>
          <w:lang w:val="en-NZ" w:eastAsia="ko-KR"/>
        </w:rPr>
        <w:t xml:space="preserve">3.1.2 </w:t>
      </w:r>
      <w:r w:rsidRPr="00441526">
        <w:rPr>
          <w:b/>
          <w:lang w:val="en-NZ" w:eastAsia="ko-KR"/>
        </w:rPr>
        <w:tab/>
      </w:r>
      <w:r w:rsidR="007D6CDC">
        <w:rPr>
          <w:b/>
          <w:lang w:val="en-NZ" w:eastAsia="ko-KR"/>
        </w:rPr>
        <w:t>Australia</w:t>
      </w:r>
      <w:r w:rsidRPr="00441526">
        <w:rPr>
          <w:b/>
          <w:lang w:val="en-NZ" w:eastAsia="ko-KR"/>
        </w:rPr>
        <w:t xml:space="preserve"> </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w:t>
      </w:r>
      <w:r w:rsidR="007D6CDC">
        <w:rPr>
          <w:b/>
          <w:lang w:val="en-NZ" w:eastAsia="ko-KR"/>
        </w:rPr>
        <w:t>17</w:t>
      </w:r>
    </w:p>
    <w:p w14:paraId="30DD76A4" w14:textId="77777777" w:rsidR="00197CAF" w:rsidRDefault="007D6CDC" w:rsidP="00197CAF">
      <w:pPr>
        <w:ind w:left="708"/>
        <w:jc w:val="both"/>
        <w:rPr>
          <w:lang w:val="en-NZ"/>
        </w:rPr>
      </w:pPr>
      <w:r w:rsidRPr="00551169">
        <w:rPr>
          <w:lang w:val="en-NZ"/>
        </w:rPr>
        <w:t xml:space="preserve">Australia supports arrangements that are consistent with the rational and efficient use of Australia’s sovereign assets in the radiofrequency spectrum. Noting that this is a Region 2 issue, Australia does not currently have a position on the proposed new primary allocation, however, protection for existing Appendix </w:t>
      </w:r>
      <w:r w:rsidRPr="00551169">
        <w:rPr>
          <w:b/>
          <w:bCs/>
          <w:lang w:val="en-NZ"/>
        </w:rPr>
        <w:t>30A</w:t>
      </w:r>
      <w:r w:rsidRPr="00551169">
        <w:rPr>
          <w:lang w:val="en-NZ"/>
        </w:rPr>
        <w:t xml:space="preserve"> satellite networks should be ensured.</w:t>
      </w:r>
    </w:p>
    <w:p w14:paraId="527F937C" w14:textId="65275464" w:rsidR="002A0111" w:rsidRPr="00441526" w:rsidRDefault="002A0111" w:rsidP="00197CAF">
      <w:pPr>
        <w:jc w:val="both"/>
        <w:rPr>
          <w:lang w:val="en-NZ"/>
        </w:rPr>
      </w:pPr>
      <w:r w:rsidRPr="00441526">
        <w:rPr>
          <w:lang w:val="en-NZ"/>
        </w:rPr>
        <w:t xml:space="preserve"> </w:t>
      </w:r>
    </w:p>
    <w:p w14:paraId="0349DDC2" w14:textId="706651AB" w:rsidR="002A0111" w:rsidRPr="00441526" w:rsidRDefault="002A0111" w:rsidP="003D3D47">
      <w:pPr>
        <w:spacing w:after="120"/>
        <w:jc w:val="both"/>
        <w:rPr>
          <w:b/>
          <w:lang w:val="en-NZ" w:eastAsia="ko-KR"/>
        </w:rPr>
      </w:pPr>
      <w:r w:rsidRPr="00441526">
        <w:rPr>
          <w:b/>
          <w:lang w:val="en-NZ" w:eastAsia="ko-KR"/>
        </w:rPr>
        <w:t>3.1.</w:t>
      </w:r>
      <w:r w:rsidR="007D6CDC">
        <w:rPr>
          <w:b/>
          <w:lang w:val="en-NZ" w:eastAsia="ko-KR"/>
        </w:rPr>
        <w:t>3</w:t>
      </w:r>
      <w:r w:rsidRPr="00441526">
        <w:rPr>
          <w:b/>
          <w:lang w:val="en-NZ" w:eastAsia="ko-KR"/>
        </w:rPr>
        <w:tab/>
      </w:r>
      <w:r w:rsidR="007D6CDC" w:rsidRPr="007D6CDC">
        <w:rPr>
          <w:b/>
          <w:lang w:val="en-NZ" w:eastAsia="ko-KR"/>
        </w:rPr>
        <w:t>Bangladesh (People’s Republic of)</w:t>
      </w:r>
      <w:r w:rsidRPr="007D6CDC">
        <w:rPr>
          <w:b/>
          <w:lang w:val="en-NZ" w:eastAsia="ko-KR"/>
        </w:rPr>
        <w:t xml:space="preserve"> </w:t>
      </w:r>
      <w:r w:rsidRPr="007D6CDC">
        <w:t>-</w:t>
      </w:r>
      <w:r w:rsidRPr="00441526">
        <w:t xml:space="preserve"> </w:t>
      </w:r>
      <w:r w:rsidRPr="00441526">
        <w:rPr>
          <w:b/>
          <w:lang w:val="en-NZ" w:eastAsia="ko-KR"/>
        </w:rPr>
        <w:t>Document APG</w:t>
      </w:r>
      <w:r w:rsidR="00822B33">
        <w:rPr>
          <w:b/>
          <w:lang w:val="en-NZ" w:eastAsia="ko-KR"/>
        </w:rPr>
        <w:t>23</w:t>
      </w:r>
      <w:r w:rsidRPr="00441526">
        <w:rPr>
          <w:b/>
          <w:lang w:val="en-NZ" w:eastAsia="ko-KR"/>
        </w:rPr>
        <w:t>-</w:t>
      </w:r>
      <w:r w:rsidR="00F00939">
        <w:rPr>
          <w:b/>
          <w:lang w:val="en-NZ" w:eastAsia="ko-KR"/>
        </w:rPr>
        <w:t>4</w:t>
      </w:r>
      <w:r w:rsidRPr="00441526">
        <w:rPr>
          <w:b/>
          <w:lang w:val="en-NZ" w:eastAsia="ko-KR"/>
        </w:rPr>
        <w:t>/INP-</w:t>
      </w:r>
      <w:r w:rsidR="007D6CDC">
        <w:rPr>
          <w:b/>
          <w:lang w:val="en-NZ" w:eastAsia="ko-KR"/>
        </w:rPr>
        <w:t>22</w:t>
      </w:r>
    </w:p>
    <w:p w14:paraId="1367D468" w14:textId="3FBFD751" w:rsidR="007D6CDC" w:rsidRDefault="007D6CDC" w:rsidP="007D6CDC">
      <w:pPr>
        <w:ind w:left="708"/>
        <w:jc w:val="both"/>
        <w:rPr>
          <w:lang w:val="en-NZ"/>
        </w:rPr>
      </w:pPr>
      <w:r w:rsidRPr="00551169">
        <w:rPr>
          <w:lang w:val="en-NZ"/>
        </w:rPr>
        <w:t>This agenda is related to the issue of Region 2. Bangladesh is of the view that any studies at ITU-R related to Agenda Item 1.19 needs to ensure protection for existing frequency bands are allocated for the satellite networks as per the plan and procedures in Appendix.</w:t>
      </w:r>
    </w:p>
    <w:p w14:paraId="3DB40CA7" w14:textId="77777777" w:rsidR="007D6CDC" w:rsidRDefault="007D6CDC" w:rsidP="007D6CDC">
      <w:pPr>
        <w:ind w:left="708"/>
        <w:jc w:val="both"/>
        <w:rPr>
          <w:lang w:val="en-NZ"/>
        </w:rPr>
      </w:pPr>
    </w:p>
    <w:p w14:paraId="52C80ABA" w14:textId="374F0216" w:rsidR="007D6CDC" w:rsidRPr="00441526" w:rsidRDefault="007D6CDC" w:rsidP="007D6CDC">
      <w:pPr>
        <w:spacing w:after="120"/>
        <w:jc w:val="both"/>
        <w:rPr>
          <w:b/>
          <w:lang w:val="en-NZ" w:eastAsia="ko-KR"/>
        </w:rPr>
      </w:pPr>
      <w:r w:rsidRPr="00441526">
        <w:rPr>
          <w:b/>
          <w:lang w:val="en-NZ" w:eastAsia="ko-KR"/>
        </w:rPr>
        <w:t>3.1.</w:t>
      </w:r>
      <w:r>
        <w:rPr>
          <w:b/>
          <w:lang w:val="en-NZ" w:eastAsia="ko-KR"/>
        </w:rPr>
        <w:t>4</w:t>
      </w:r>
      <w:r w:rsidRPr="00441526">
        <w:rPr>
          <w:b/>
          <w:lang w:val="en-NZ" w:eastAsia="ko-KR"/>
        </w:rPr>
        <w:tab/>
      </w:r>
      <w:r w:rsidRPr="007D6CDC">
        <w:rPr>
          <w:b/>
          <w:lang w:val="en-NZ" w:eastAsia="ko-KR"/>
        </w:rPr>
        <w:t xml:space="preserve">Iran (Islamic Republic of) </w:t>
      </w:r>
      <w:r w:rsidRPr="007D6CDC">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26</w:t>
      </w:r>
    </w:p>
    <w:p w14:paraId="709501FE" w14:textId="77777777" w:rsidR="007D6CDC" w:rsidRPr="00551169" w:rsidRDefault="007D6CDC" w:rsidP="007D6CDC">
      <w:pPr>
        <w:ind w:left="708"/>
        <w:jc w:val="both"/>
        <w:rPr>
          <w:lang w:val="en-NZ"/>
        </w:rPr>
      </w:pPr>
      <w:r w:rsidRPr="00551169">
        <w:rPr>
          <w:lang w:val="en-NZ"/>
        </w:rPr>
        <w:t>Two different Methods are contained in the Draft CPM text.</w:t>
      </w:r>
    </w:p>
    <w:p w14:paraId="1F7A538E" w14:textId="77777777" w:rsidR="007D6CDC" w:rsidRPr="00551169" w:rsidRDefault="007D6CDC" w:rsidP="007D6CDC">
      <w:pPr>
        <w:pStyle w:val="ListParagraph"/>
        <w:numPr>
          <w:ilvl w:val="0"/>
          <w:numId w:val="26"/>
        </w:numPr>
        <w:ind w:left="1134"/>
        <w:jc w:val="both"/>
        <w:rPr>
          <w:lang w:val="en-NZ"/>
        </w:rPr>
      </w:pPr>
      <w:r w:rsidRPr="00551169">
        <w:rPr>
          <w:lang w:val="en-NZ"/>
        </w:rPr>
        <w:t xml:space="preserve">This Administration is more in </w:t>
      </w:r>
      <w:proofErr w:type="spellStart"/>
      <w:r w:rsidRPr="00551169">
        <w:rPr>
          <w:lang w:val="en-NZ"/>
        </w:rPr>
        <w:t>favor</w:t>
      </w:r>
      <w:proofErr w:type="spellEnd"/>
      <w:r w:rsidRPr="00551169">
        <w:rPr>
          <w:lang w:val="en-NZ"/>
        </w:rPr>
        <w:t xml:space="preserve"> of Method </w:t>
      </w:r>
      <w:proofErr w:type="gramStart"/>
      <w:r w:rsidRPr="00551169">
        <w:rPr>
          <w:lang w:val="en-NZ"/>
        </w:rPr>
        <w:t>A;</w:t>
      </w:r>
      <w:proofErr w:type="gramEnd"/>
      <w:r w:rsidRPr="00551169">
        <w:rPr>
          <w:lang w:val="en-NZ"/>
        </w:rPr>
        <w:t xml:space="preserve"> NO CHANGE.</w:t>
      </w:r>
    </w:p>
    <w:p w14:paraId="4DCDF184" w14:textId="77777777" w:rsidR="00AE70E7" w:rsidRPr="00551169" w:rsidRDefault="007D6CDC" w:rsidP="00AE70E7">
      <w:pPr>
        <w:pStyle w:val="ListParagraph"/>
        <w:numPr>
          <w:ilvl w:val="0"/>
          <w:numId w:val="26"/>
        </w:numPr>
        <w:ind w:left="1134"/>
        <w:jc w:val="both"/>
        <w:rPr>
          <w:lang w:val="en-NZ"/>
        </w:rPr>
      </w:pPr>
      <w:r w:rsidRPr="00551169">
        <w:rPr>
          <w:lang w:val="en-NZ"/>
        </w:rPr>
        <w:t>However, it is also prepared to consider Method B if the protection of AP30A Feeder Link in Region 3 is addressed. To achieve this objective the following concept is needed to be included in the method to satisfy this agenda item and its associated regulatory text.</w:t>
      </w:r>
    </w:p>
    <w:p w14:paraId="74A5555C" w14:textId="1978E3F5" w:rsidR="007D6CDC" w:rsidRPr="00551169" w:rsidRDefault="007D6CDC" w:rsidP="00AE70E7">
      <w:pPr>
        <w:pStyle w:val="ListParagraph"/>
        <w:ind w:left="1134"/>
        <w:jc w:val="both"/>
        <w:rPr>
          <w:lang w:val="en-NZ"/>
        </w:rPr>
      </w:pPr>
      <w:r w:rsidRPr="00551169">
        <w:rPr>
          <w:lang w:val="en-NZ"/>
        </w:rPr>
        <w:t>“In the band 17.3-17.7 GHz, space stations of the fixed-satellite service (space-to-Earth) in Region 2 shall not cause harmful interference to the Space Station Receivers associated with AP30A Feeder Link”</w:t>
      </w:r>
    </w:p>
    <w:p w14:paraId="05C8B2B8" w14:textId="77777777" w:rsidR="007D6CDC" w:rsidRPr="00551169" w:rsidRDefault="007D6CDC" w:rsidP="007D6CDC">
      <w:pPr>
        <w:pStyle w:val="ListParagraph"/>
        <w:numPr>
          <w:ilvl w:val="0"/>
          <w:numId w:val="26"/>
        </w:numPr>
        <w:ind w:left="1134"/>
        <w:jc w:val="both"/>
        <w:rPr>
          <w:lang w:val="en-NZ"/>
        </w:rPr>
      </w:pPr>
      <w:r w:rsidRPr="00551169">
        <w:rPr>
          <w:lang w:val="en-NZ"/>
        </w:rPr>
        <w:t>This administration is also of the view that the mitigation requirements referred to in Study #1 of the draft CPM text considered to avoided significant interference in the equatorial-limb case should also be reflected in the form of regulatory procedures including the technical conditions in the proposed method to satisfy this agenda item and its associated regulatory text.</w:t>
      </w:r>
    </w:p>
    <w:p w14:paraId="78B855FF" w14:textId="77777777" w:rsidR="007D6CDC" w:rsidRPr="00441526" w:rsidRDefault="007D6CDC" w:rsidP="007D6CDC">
      <w:pPr>
        <w:ind w:left="708"/>
        <w:jc w:val="both"/>
        <w:rPr>
          <w:lang w:val="en-NZ"/>
        </w:rPr>
      </w:pPr>
    </w:p>
    <w:p w14:paraId="57D59308" w14:textId="2EF40FD0" w:rsidR="007D6CDC" w:rsidRPr="00441526" w:rsidRDefault="007D6CDC" w:rsidP="007D6CDC">
      <w:pPr>
        <w:spacing w:after="120"/>
        <w:jc w:val="both"/>
        <w:rPr>
          <w:b/>
          <w:lang w:val="en-NZ" w:eastAsia="ko-KR"/>
        </w:rPr>
      </w:pPr>
      <w:r w:rsidRPr="00441526">
        <w:rPr>
          <w:b/>
          <w:lang w:val="en-NZ" w:eastAsia="ko-KR"/>
        </w:rPr>
        <w:t>3.1.</w:t>
      </w:r>
      <w:r>
        <w:rPr>
          <w:b/>
          <w:lang w:val="en-NZ" w:eastAsia="ko-KR"/>
        </w:rPr>
        <w:t>5</w:t>
      </w:r>
      <w:r w:rsidRPr="00441526">
        <w:rPr>
          <w:b/>
          <w:lang w:val="en-NZ" w:eastAsia="ko-KR"/>
        </w:rPr>
        <w:tab/>
      </w:r>
      <w:r w:rsidRPr="00DD507F">
        <w:rPr>
          <w:b/>
          <w:lang w:val="en-NZ" w:eastAsia="ko-KR"/>
        </w:rPr>
        <w:t>China (People’s Republic of)</w:t>
      </w:r>
      <w:r w:rsidRPr="007D6CDC">
        <w:rPr>
          <w:b/>
          <w:lang w:val="en-NZ" w:eastAsia="ko-KR"/>
        </w:rPr>
        <w:t xml:space="preserve"> </w:t>
      </w:r>
      <w:r w:rsidRPr="007D6CDC">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sidR="002752C9">
        <w:rPr>
          <w:b/>
          <w:lang w:val="en-NZ" w:eastAsia="ko-KR"/>
        </w:rPr>
        <w:t>43</w:t>
      </w:r>
    </w:p>
    <w:p w14:paraId="2D4C631E" w14:textId="1EFE264E" w:rsidR="007D6CDC" w:rsidRDefault="007D6CDC" w:rsidP="007D6CDC">
      <w:pPr>
        <w:ind w:left="708"/>
        <w:jc w:val="both"/>
        <w:rPr>
          <w:lang w:val="en-NZ"/>
        </w:rPr>
      </w:pPr>
      <w:r w:rsidRPr="00551169">
        <w:rPr>
          <w:lang w:val="en-NZ"/>
        </w:rPr>
        <w:t xml:space="preserve">To consider possible new primary allocation to the fixed-satellite service (space-to-Earth) in the frequency band 17.3-17.7 GHz for Region 2, it should be </w:t>
      </w:r>
      <w:proofErr w:type="gramStart"/>
      <w:r w:rsidRPr="00551169">
        <w:rPr>
          <w:lang w:val="en-NZ"/>
        </w:rPr>
        <w:t>ensure</w:t>
      </w:r>
      <w:proofErr w:type="gramEnd"/>
      <w:r w:rsidRPr="00551169">
        <w:rPr>
          <w:lang w:val="en-NZ"/>
        </w:rPr>
        <w:t xml:space="preserve"> the protection of </w:t>
      </w:r>
      <w:r w:rsidRPr="00551169">
        <w:rPr>
          <w:lang w:val="en-NZ"/>
        </w:rPr>
        <w:lastRenderedPageBreak/>
        <w:t xml:space="preserve">existing primary allocations in the same and adjacent bands, as appropriate, and without imposing any additional constraints on existing allocations to the broadcasting-satellite service (space-to-Earth) and the fixed-satellite service (Earth-to-space). In addition, the new allocation to FSS in Region 2 should not adversely </w:t>
      </w:r>
      <w:proofErr w:type="gramStart"/>
      <w:r w:rsidRPr="00551169">
        <w:rPr>
          <w:lang w:val="en-NZ"/>
        </w:rPr>
        <w:t>effect</w:t>
      </w:r>
      <w:proofErr w:type="gramEnd"/>
      <w:r w:rsidRPr="00551169">
        <w:rPr>
          <w:lang w:val="en-NZ"/>
        </w:rPr>
        <w:t xml:space="preserve"> on existing allocations and services for Region 3.</w:t>
      </w:r>
    </w:p>
    <w:p w14:paraId="17103F00" w14:textId="77777777" w:rsidR="007D6CDC" w:rsidRPr="007D6CDC" w:rsidRDefault="007D6CDC" w:rsidP="007D6CDC">
      <w:pPr>
        <w:ind w:left="708"/>
        <w:jc w:val="both"/>
        <w:rPr>
          <w:lang w:val="en-NZ"/>
        </w:rPr>
      </w:pPr>
    </w:p>
    <w:p w14:paraId="66833B5B" w14:textId="654DB379" w:rsidR="007D6CDC" w:rsidRDefault="007D6CDC" w:rsidP="007D6CDC">
      <w:pPr>
        <w:ind w:left="708"/>
        <w:jc w:val="both"/>
        <w:rPr>
          <w:lang w:val="en-NZ"/>
        </w:rPr>
      </w:pPr>
      <w:r w:rsidRPr="00551169">
        <w:rPr>
          <w:lang w:val="en-NZ"/>
        </w:rPr>
        <w:t xml:space="preserve">In particular, any new allocation in </w:t>
      </w:r>
      <w:proofErr w:type="gramStart"/>
      <w:r w:rsidRPr="00551169">
        <w:rPr>
          <w:lang w:val="en-NZ"/>
        </w:rPr>
        <w:t>Region</w:t>
      </w:r>
      <w:proofErr w:type="gramEnd"/>
      <w:r w:rsidRPr="00551169">
        <w:rPr>
          <w:lang w:val="en-NZ"/>
        </w:rPr>
        <w:t xml:space="preserve"> 2 in the band 17.3-17.7 GHz, shall not claim protection from the broadcasting-satellite service feeder-link earth stations operating under Appendix </w:t>
      </w:r>
      <w:r w:rsidRPr="00551169">
        <w:rPr>
          <w:b/>
          <w:bCs/>
          <w:lang w:val="en-NZ"/>
        </w:rPr>
        <w:t>30A</w:t>
      </w:r>
      <w:r w:rsidRPr="00551169">
        <w:rPr>
          <w:lang w:val="en-NZ"/>
        </w:rPr>
        <w:t>, nor put any limitations or restrictions on the locations of the broadcasting-satellite service feeder-link earth stations anywhere within the service area of the feeder link</w:t>
      </w:r>
      <w:r w:rsidRPr="00551169">
        <w:rPr>
          <w:rFonts w:hint="eastAsia"/>
          <w:lang w:val="en-NZ"/>
        </w:rPr>
        <w:t>.</w:t>
      </w:r>
    </w:p>
    <w:p w14:paraId="70EB05F1" w14:textId="77777777" w:rsidR="007D6CDC" w:rsidRPr="007D6CDC" w:rsidRDefault="007D6CDC" w:rsidP="007D6CDC">
      <w:pPr>
        <w:ind w:left="708"/>
        <w:jc w:val="both"/>
        <w:rPr>
          <w:lang w:val="en-NZ"/>
        </w:rPr>
      </w:pPr>
    </w:p>
    <w:p w14:paraId="5388FA82" w14:textId="77777777" w:rsidR="007D6CDC" w:rsidRPr="007D6CDC" w:rsidRDefault="007D6CDC" w:rsidP="007D6CDC">
      <w:pPr>
        <w:ind w:left="708"/>
        <w:jc w:val="both"/>
        <w:rPr>
          <w:lang w:val="en-NZ"/>
        </w:rPr>
      </w:pPr>
      <w:r w:rsidRPr="00551169">
        <w:rPr>
          <w:lang w:val="en-NZ"/>
        </w:rPr>
        <w:t>In Region 2, use of the fixed-satellite (space-to-Earth) service in the band 17.3-17.</w:t>
      </w:r>
      <w:r w:rsidRPr="00551169">
        <w:rPr>
          <w:rFonts w:hint="eastAsia"/>
          <w:lang w:val="en-NZ"/>
        </w:rPr>
        <w:t>7</w:t>
      </w:r>
      <w:r w:rsidRPr="00551169">
        <w:rPr>
          <w:lang w:val="en-NZ"/>
        </w:rPr>
        <w:t xml:space="preserve"> GHz shall not cause harmful interference nor claim protection from assignments in the broadcasting-satellite service operating in conformity with the Radio Regulations</w:t>
      </w:r>
      <w:r w:rsidRPr="00551169">
        <w:rPr>
          <w:rFonts w:hint="eastAsia"/>
          <w:lang w:val="en-NZ"/>
        </w:rPr>
        <w:t>.</w:t>
      </w:r>
    </w:p>
    <w:p w14:paraId="190343CA" w14:textId="77777777" w:rsidR="007D6CDC" w:rsidRDefault="007D6CDC" w:rsidP="007D6CDC">
      <w:pPr>
        <w:ind w:left="708"/>
        <w:jc w:val="both"/>
        <w:rPr>
          <w:lang w:val="en-NZ"/>
        </w:rPr>
      </w:pPr>
    </w:p>
    <w:p w14:paraId="168C3A71" w14:textId="6164000D" w:rsidR="0097584A" w:rsidRPr="00441526" w:rsidRDefault="0097584A" w:rsidP="0097584A">
      <w:pPr>
        <w:spacing w:after="120"/>
        <w:jc w:val="both"/>
        <w:rPr>
          <w:b/>
          <w:lang w:val="en-NZ" w:eastAsia="ko-KR"/>
        </w:rPr>
      </w:pPr>
      <w:r w:rsidRPr="00441526">
        <w:rPr>
          <w:b/>
          <w:lang w:val="en-NZ" w:eastAsia="ko-KR"/>
        </w:rPr>
        <w:t>3.1.</w:t>
      </w:r>
      <w:r>
        <w:rPr>
          <w:b/>
          <w:lang w:val="en-NZ" w:eastAsia="ko-KR"/>
        </w:rPr>
        <w:t>6</w:t>
      </w:r>
      <w:r w:rsidRPr="00441526">
        <w:rPr>
          <w:b/>
          <w:lang w:val="en-NZ" w:eastAsia="ko-KR"/>
        </w:rPr>
        <w:tab/>
      </w:r>
      <w:r w:rsidRPr="0097584A">
        <w:rPr>
          <w:b/>
          <w:lang w:val="en-NZ" w:eastAsia="ko-KR"/>
        </w:rPr>
        <w:t xml:space="preserve">India (Republic of) </w:t>
      </w:r>
      <w:r w:rsidRPr="0097584A">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64</w:t>
      </w:r>
    </w:p>
    <w:p w14:paraId="49323660" w14:textId="621BEB38" w:rsidR="0097584A" w:rsidRDefault="0097584A" w:rsidP="0097584A">
      <w:pPr>
        <w:ind w:left="708"/>
        <w:jc w:val="both"/>
        <w:rPr>
          <w:lang w:val="en-NZ"/>
        </w:rPr>
      </w:pPr>
      <w:r w:rsidRPr="00551169">
        <w:rPr>
          <w:lang w:val="en-NZ"/>
        </w:rPr>
        <w:t xml:space="preserve">India is of the view that new primary allocation to the fixed-satellite service in the space-to-Earth direction in the frequency band 17.3-17.7 GHz in Region 2 should not impose any constraints to the incumbent services operating in the concerned frequency bands and adjacent bands in </w:t>
      </w:r>
      <w:proofErr w:type="gramStart"/>
      <w:r w:rsidRPr="00551169">
        <w:rPr>
          <w:lang w:val="en-NZ"/>
        </w:rPr>
        <w:t>Region</w:t>
      </w:r>
      <w:proofErr w:type="gramEnd"/>
      <w:r w:rsidRPr="00551169">
        <w:rPr>
          <w:lang w:val="en-NZ"/>
        </w:rPr>
        <w:t xml:space="preserve"> 3.</w:t>
      </w:r>
    </w:p>
    <w:p w14:paraId="50B9A284" w14:textId="7C9C872E" w:rsidR="0097584A" w:rsidRDefault="0097584A" w:rsidP="0097584A">
      <w:pPr>
        <w:ind w:left="708"/>
        <w:jc w:val="both"/>
        <w:rPr>
          <w:lang w:val="en-NZ"/>
        </w:rPr>
      </w:pPr>
    </w:p>
    <w:p w14:paraId="015A7DCC" w14:textId="4435F3C2" w:rsidR="0097584A" w:rsidRPr="00441526" w:rsidRDefault="0097584A" w:rsidP="0097584A">
      <w:pPr>
        <w:spacing w:after="120"/>
        <w:jc w:val="both"/>
        <w:rPr>
          <w:b/>
          <w:lang w:val="en-NZ" w:eastAsia="ko-KR"/>
        </w:rPr>
      </w:pPr>
      <w:r w:rsidRPr="00441526">
        <w:rPr>
          <w:b/>
          <w:lang w:val="en-NZ" w:eastAsia="ko-KR"/>
        </w:rPr>
        <w:t>3.1.</w:t>
      </w:r>
      <w:r>
        <w:rPr>
          <w:b/>
          <w:lang w:val="en-NZ" w:eastAsia="ko-KR"/>
        </w:rPr>
        <w:t>7</w:t>
      </w:r>
      <w:r w:rsidRPr="00441526">
        <w:rPr>
          <w:b/>
          <w:lang w:val="en-NZ" w:eastAsia="ko-KR"/>
        </w:rPr>
        <w:tab/>
      </w:r>
      <w:r w:rsidRPr="0097584A">
        <w:rPr>
          <w:b/>
          <w:lang w:val="en-NZ" w:eastAsia="ko-KR"/>
        </w:rPr>
        <w:t xml:space="preserve">Viet Nam (Socialist Republic of) </w:t>
      </w:r>
      <w:r w:rsidRPr="0097584A">
        <w:t>-</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/INP-</w:t>
      </w:r>
      <w:r>
        <w:rPr>
          <w:b/>
          <w:lang w:val="en-NZ" w:eastAsia="ko-KR"/>
        </w:rPr>
        <w:t>77</w:t>
      </w:r>
    </w:p>
    <w:p w14:paraId="6C12BDB4" w14:textId="6B925462" w:rsidR="00551169" w:rsidRPr="00441526" w:rsidRDefault="0097584A" w:rsidP="00551169">
      <w:pPr>
        <w:ind w:left="708"/>
        <w:jc w:val="both"/>
        <w:rPr>
          <w:lang w:val="en-NZ"/>
        </w:rPr>
      </w:pPr>
      <w:r w:rsidRPr="0097584A">
        <w:rPr>
          <w:lang w:val="en-NZ"/>
        </w:rPr>
        <w:t xml:space="preserve">Viet Nam of the view </w:t>
      </w:r>
      <w:r w:rsidRPr="00551169">
        <w:rPr>
          <w:lang w:val="en-NZ"/>
        </w:rPr>
        <w:t>that the use of spectrum available (17.3-17.7 GHz) to networks and systems in the FSS across Regions needs to be supported if the studies show that the new allocation is feasible. Therefore, Vietnam supports Method B.</w:t>
      </w:r>
    </w:p>
    <w:p w14:paraId="5E1DBD53" w14:textId="77777777" w:rsidR="002A0111" w:rsidRPr="00441526" w:rsidRDefault="002A0111" w:rsidP="00551169">
      <w:pPr>
        <w:spacing w:after="120"/>
        <w:ind w:left="708"/>
        <w:jc w:val="both"/>
        <w:rPr>
          <w:lang w:val="en-NZ"/>
        </w:rPr>
      </w:pPr>
    </w:p>
    <w:p w14:paraId="35F51011"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1A49582D" w14:textId="4C911766" w:rsidR="0097584A" w:rsidRPr="00720CFF" w:rsidRDefault="003D5365" w:rsidP="00BE031A">
      <w:pPr>
        <w:spacing w:before="240" w:after="120"/>
        <w:ind w:left="709"/>
        <w:jc w:val="both"/>
        <w:rPr>
          <w:lang w:val="en-NZ"/>
        </w:rPr>
      </w:pPr>
      <w:r>
        <w:rPr>
          <w:lang w:val="en-NZ"/>
        </w:rPr>
        <w:t>T</w:t>
      </w:r>
      <w:r w:rsidR="0097584A" w:rsidRPr="00236389">
        <w:rPr>
          <w:lang w:val="en-NZ"/>
        </w:rPr>
        <w:t xml:space="preserve">he existing </w:t>
      </w:r>
      <w:r w:rsidR="0097584A" w:rsidRPr="0000243E">
        <w:rPr>
          <w:lang w:val="en-NZ"/>
        </w:rPr>
        <w:t xml:space="preserve">primary services in </w:t>
      </w:r>
      <w:proofErr w:type="gramStart"/>
      <w:r w:rsidR="0097584A" w:rsidRPr="0000243E">
        <w:rPr>
          <w:lang w:val="en-NZ"/>
        </w:rPr>
        <w:t>Region</w:t>
      </w:r>
      <w:proofErr w:type="gramEnd"/>
      <w:r w:rsidR="0097584A" w:rsidRPr="0000243E">
        <w:rPr>
          <w:lang w:val="en-NZ"/>
        </w:rPr>
        <w:t xml:space="preserve"> 3 in the frequency band considered under the </w:t>
      </w:r>
      <w:r w:rsidR="0097584A" w:rsidRPr="009201A2">
        <w:rPr>
          <w:lang w:val="en-NZ"/>
        </w:rPr>
        <w:t>Agenda Item 1.19 of WRC-23</w:t>
      </w:r>
      <w:r w:rsidR="0097584A">
        <w:rPr>
          <w:lang w:val="en-NZ"/>
        </w:rPr>
        <w:t xml:space="preserve">, </w:t>
      </w:r>
      <w:r w:rsidR="0097584A">
        <w:rPr>
          <w:rFonts w:eastAsia="Times New Roman" w:cstheme="minorHAnsi"/>
          <w:color w:val="000000"/>
        </w:rPr>
        <w:t xml:space="preserve">including </w:t>
      </w:r>
      <w:r w:rsidR="0097584A" w:rsidRPr="00325FB0">
        <w:rPr>
          <w:rFonts w:eastAsia="Times New Roman" w:cstheme="minorHAnsi"/>
          <w:color w:val="000000"/>
        </w:rPr>
        <w:t xml:space="preserve">Appendix </w:t>
      </w:r>
      <w:r w:rsidR="0097584A" w:rsidRPr="006F07D4">
        <w:rPr>
          <w:rFonts w:eastAsia="Times New Roman" w:cstheme="minorHAnsi"/>
          <w:b/>
          <w:bCs/>
          <w:color w:val="000000"/>
        </w:rPr>
        <w:t>30A</w:t>
      </w:r>
      <w:r w:rsidR="0097584A" w:rsidRPr="00325FB0">
        <w:rPr>
          <w:rFonts w:eastAsia="Times New Roman" w:cstheme="minorHAnsi"/>
          <w:color w:val="000000"/>
        </w:rPr>
        <w:t xml:space="preserve"> </w:t>
      </w:r>
      <w:r w:rsidR="0097584A">
        <w:rPr>
          <w:rFonts w:eastAsia="Times New Roman" w:cstheme="minorHAnsi"/>
          <w:color w:val="000000"/>
        </w:rPr>
        <w:t>satellite networks</w:t>
      </w:r>
      <w:r w:rsidR="0097584A">
        <w:rPr>
          <w:lang w:val="en-NZ"/>
        </w:rPr>
        <w:t xml:space="preserve">, </w:t>
      </w:r>
      <w:r w:rsidR="00BE031A">
        <w:rPr>
          <w:lang w:val="en-NZ"/>
        </w:rPr>
        <w:t>should</w:t>
      </w:r>
      <w:r w:rsidR="0097584A" w:rsidRPr="009201A2">
        <w:rPr>
          <w:lang w:val="en-NZ"/>
        </w:rPr>
        <w:t xml:space="preserve"> be protected from any impact of the ITU-R study results for this agenda item</w:t>
      </w:r>
      <w:r>
        <w:rPr>
          <w:lang w:val="en-NZ"/>
        </w:rPr>
        <w:t>.</w:t>
      </w:r>
    </w:p>
    <w:p w14:paraId="3D0FDE2B" w14:textId="77777777" w:rsidR="002A0111" w:rsidRPr="00441526" w:rsidRDefault="002A0111" w:rsidP="003D3D47">
      <w:pPr>
        <w:jc w:val="both"/>
        <w:rPr>
          <w:lang w:val="en-NZ"/>
        </w:rPr>
      </w:pPr>
    </w:p>
    <w:p w14:paraId="493B2DF3" w14:textId="43A5C626" w:rsidR="0097584A" w:rsidRPr="00BE031A" w:rsidRDefault="002A0111" w:rsidP="00BE031A">
      <w:pPr>
        <w:spacing w:after="120"/>
        <w:jc w:val="both"/>
        <w:rPr>
          <w:b/>
          <w:lang w:val="en-NZ" w:eastAsia="ko-KR"/>
        </w:rPr>
      </w:pPr>
      <w:r w:rsidRPr="00441526">
        <w:rPr>
          <w:b/>
          <w:lang w:val="en-NZ" w:eastAsia="ko-KR"/>
        </w:rPr>
        <w:t xml:space="preserve">4. </w:t>
      </w:r>
      <w:r w:rsidRPr="00441526">
        <w:rPr>
          <w:b/>
          <w:lang w:val="en-NZ" w:eastAsia="ko-KR"/>
        </w:rPr>
        <w:tab/>
        <w:t>APT Preliminary View</w:t>
      </w:r>
      <w:r w:rsidR="00A37EA3">
        <w:rPr>
          <w:b/>
          <w:lang w:val="en-NZ" w:eastAsia="ko-KR"/>
        </w:rPr>
        <w:t>s</w:t>
      </w:r>
    </w:p>
    <w:p w14:paraId="05C89559" w14:textId="297CE465" w:rsidR="00A37EA3" w:rsidRDefault="002752C9" w:rsidP="0097584A">
      <w:pPr>
        <w:spacing w:before="240" w:after="120"/>
        <w:ind w:left="709"/>
        <w:jc w:val="both"/>
        <w:rPr>
          <w:rFonts w:eastAsia="Times New Roman" w:cs="Calibri"/>
          <w:color w:val="000000"/>
        </w:rPr>
      </w:pPr>
      <w:r w:rsidRPr="0000243E">
        <w:rPr>
          <w:lang w:val="en-NZ"/>
        </w:rPr>
        <w:t xml:space="preserve">APT </w:t>
      </w:r>
      <w:r w:rsidRPr="00DD402B">
        <w:rPr>
          <w:lang w:val="en-NZ"/>
        </w:rPr>
        <w:t>M</w:t>
      </w:r>
      <w:r w:rsidRPr="00290062">
        <w:rPr>
          <w:lang w:val="en-NZ"/>
        </w:rPr>
        <w:t>emb</w:t>
      </w:r>
      <w:r w:rsidRPr="00AF2A6C">
        <w:rPr>
          <w:lang w:val="en-NZ"/>
        </w:rPr>
        <w:t>ers are of the view that</w:t>
      </w:r>
      <w:r w:rsidR="00A37EA3">
        <w:rPr>
          <w:rFonts w:eastAsia="Times New Roman" w:cs="Calibri"/>
          <w:color w:val="000000"/>
        </w:rPr>
        <w:t>:</w:t>
      </w:r>
    </w:p>
    <w:p w14:paraId="34C8ACE2" w14:textId="75EC10F1" w:rsidR="00A37EA3" w:rsidRPr="00A37EA3" w:rsidRDefault="00A37EA3" w:rsidP="00A37EA3">
      <w:pPr>
        <w:pStyle w:val="ListParagraph"/>
        <w:numPr>
          <w:ilvl w:val="0"/>
          <w:numId w:val="28"/>
        </w:numPr>
        <w:spacing w:before="240" w:after="120"/>
        <w:jc w:val="both"/>
        <w:rPr>
          <w:rFonts w:eastAsia="Times New Roman" w:cs="Calibri"/>
          <w:strike/>
          <w:color w:val="000000"/>
        </w:rPr>
      </w:pPr>
      <w:r>
        <w:rPr>
          <w:rFonts w:eastAsia="Times New Roman" w:cs="Calibri"/>
          <w:color w:val="000000"/>
        </w:rPr>
        <w:t>A</w:t>
      </w:r>
      <w:r w:rsidR="002752C9" w:rsidRPr="00A37EA3">
        <w:rPr>
          <w:rFonts w:eastAsia="Times New Roman" w:cs="Calibri"/>
          <w:color w:val="000000"/>
        </w:rPr>
        <w:t xml:space="preserve">ny studies </w:t>
      </w:r>
      <w:r w:rsidR="00157890">
        <w:rPr>
          <w:rFonts w:eastAsia="Times New Roman" w:cs="Calibri"/>
          <w:color w:val="000000"/>
        </w:rPr>
        <w:t>in the</w:t>
      </w:r>
      <w:r w:rsidR="00157890" w:rsidRPr="00A37EA3">
        <w:rPr>
          <w:rFonts w:eastAsia="Times New Roman" w:cs="Calibri"/>
          <w:color w:val="000000"/>
        </w:rPr>
        <w:t xml:space="preserve"> </w:t>
      </w:r>
      <w:r w:rsidR="002752C9" w:rsidRPr="00A37EA3">
        <w:rPr>
          <w:rFonts w:eastAsia="Times New Roman" w:cs="Calibri"/>
          <w:color w:val="000000"/>
        </w:rPr>
        <w:t>ITU-R related to Agenda Item 1.19 needs to ensure protection of the services</w:t>
      </w:r>
      <w:r w:rsidR="00224D40" w:rsidRPr="00A37EA3">
        <w:rPr>
          <w:rFonts w:eastAsia="Times New Roman" w:cs="Calibri"/>
          <w:color w:val="000000"/>
        </w:rPr>
        <w:t xml:space="preserve"> as referred to </w:t>
      </w:r>
      <w:r w:rsidR="00DA78FF">
        <w:rPr>
          <w:rFonts w:eastAsia="Times New Roman" w:cs="Calibri"/>
          <w:color w:val="000000"/>
        </w:rPr>
        <w:t xml:space="preserve">in </w:t>
      </w:r>
      <w:r w:rsidR="00224D40" w:rsidRPr="00A37EA3">
        <w:rPr>
          <w:rFonts w:eastAsia="Times New Roman" w:cs="Calibri"/>
          <w:color w:val="000000"/>
        </w:rPr>
        <w:t>R</w:t>
      </w:r>
      <w:r w:rsidR="00161257" w:rsidRPr="00A37EA3">
        <w:rPr>
          <w:rFonts w:eastAsia="Times New Roman" w:cs="Calibri"/>
          <w:color w:val="000000"/>
        </w:rPr>
        <w:t xml:space="preserve">esolution </w:t>
      </w:r>
      <w:r w:rsidR="00224D40" w:rsidRPr="00A37EA3">
        <w:rPr>
          <w:rFonts w:eastAsia="Times New Roman" w:cs="Calibri"/>
          <w:color w:val="000000"/>
        </w:rPr>
        <w:t>174</w:t>
      </w:r>
      <w:r w:rsidR="002752C9" w:rsidRPr="00A37EA3">
        <w:rPr>
          <w:rFonts w:eastAsia="Times New Roman" w:cs="Calibri"/>
          <w:color w:val="000000"/>
        </w:rPr>
        <w:t xml:space="preserve"> </w:t>
      </w:r>
      <w:r w:rsidR="00161257" w:rsidRPr="00A37EA3">
        <w:rPr>
          <w:rFonts w:eastAsia="Times New Roman" w:cs="Calibri"/>
          <w:color w:val="000000"/>
        </w:rPr>
        <w:t>(</w:t>
      </w:r>
      <w:r w:rsidR="00161257" w:rsidRPr="00A37EA3">
        <w:rPr>
          <w:rFonts w:eastAsia="Times New Roman" w:cs="Calibri"/>
          <w:b/>
          <w:bCs/>
          <w:color w:val="000000"/>
        </w:rPr>
        <w:t>WRC-19</w:t>
      </w:r>
      <w:r w:rsidR="00161257" w:rsidRPr="00A37EA3">
        <w:rPr>
          <w:rFonts w:eastAsia="Times New Roman" w:cs="Calibri"/>
          <w:color w:val="000000"/>
        </w:rPr>
        <w:t xml:space="preserve">) dealing </w:t>
      </w:r>
      <w:r w:rsidR="002752C9" w:rsidRPr="00A37EA3">
        <w:rPr>
          <w:rFonts w:eastAsia="Times New Roman" w:cs="Calibri"/>
          <w:color w:val="000000"/>
        </w:rPr>
        <w:t>to which the bands are allocated in the same and adjacent bands</w:t>
      </w:r>
      <w:r w:rsidR="00CD78FD" w:rsidRPr="00A37EA3">
        <w:rPr>
          <w:rFonts w:eastAsia="Times New Roman" w:cs="Calibri"/>
          <w:color w:val="000000"/>
        </w:rPr>
        <w:t xml:space="preserve"> </w:t>
      </w:r>
      <w:r w:rsidR="00CD78FD" w:rsidRPr="00A37EA3">
        <w:rPr>
          <w:lang w:val="en-NZ"/>
        </w:rPr>
        <w:t>without imposing any additional constraints on existing allocations to the broadcasting-satellite service (space-to-Earth) and the fixed-satellite service (Earth-to-space)</w:t>
      </w:r>
      <w:r w:rsidR="002752C9" w:rsidRPr="00A37EA3">
        <w:rPr>
          <w:rFonts w:eastAsia="Times New Roman" w:cs="Calibri"/>
          <w:color w:val="000000"/>
        </w:rPr>
        <w:t xml:space="preserve">. </w:t>
      </w:r>
    </w:p>
    <w:p w14:paraId="56677E03" w14:textId="1CB82028" w:rsidR="00A37EA3" w:rsidRPr="00A37EA3" w:rsidRDefault="00A37EA3" w:rsidP="00A37EA3">
      <w:pPr>
        <w:pStyle w:val="ListParagraph"/>
        <w:numPr>
          <w:ilvl w:val="0"/>
          <w:numId w:val="28"/>
        </w:numPr>
        <w:spacing w:before="240" w:after="120"/>
        <w:jc w:val="both"/>
        <w:rPr>
          <w:rFonts w:eastAsia="Times New Roman" w:cs="Calibri"/>
          <w:color w:val="000000"/>
        </w:rPr>
      </w:pPr>
      <w:r>
        <w:rPr>
          <w:lang w:val="en-NZ"/>
        </w:rPr>
        <w:t>A</w:t>
      </w:r>
      <w:r w:rsidR="00161257" w:rsidRPr="00A37EA3">
        <w:rPr>
          <w:lang w:val="en-NZ"/>
        </w:rPr>
        <w:t xml:space="preserve">ny new allocation in </w:t>
      </w:r>
      <w:proofErr w:type="gramStart"/>
      <w:r w:rsidR="00161257" w:rsidRPr="00A37EA3">
        <w:rPr>
          <w:lang w:val="en-NZ"/>
        </w:rPr>
        <w:t>Region</w:t>
      </w:r>
      <w:proofErr w:type="gramEnd"/>
      <w:r w:rsidR="00161257" w:rsidRPr="00A37EA3">
        <w:rPr>
          <w:lang w:val="en-NZ"/>
        </w:rPr>
        <w:t xml:space="preserve"> 2 in the band 17.3-17.7 GHz (space-to-Earth) shall not cause harmful interference to the Space Station Receivers associated with AP</w:t>
      </w:r>
      <w:r w:rsidR="00161257" w:rsidRPr="00A37EA3">
        <w:rPr>
          <w:b/>
          <w:bCs/>
          <w:lang w:val="en-NZ"/>
        </w:rPr>
        <w:t>30A</w:t>
      </w:r>
      <w:r w:rsidR="00161257" w:rsidRPr="00A37EA3">
        <w:rPr>
          <w:lang w:val="en-NZ"/>
        </w:rPr>
        <w:t xml:space="preserve"> Feeder Link and shall not claim protection from the broadcasting-satellite service feeder-link earth stations operating under AP</w:t>
      </w:r>
      <w:r w:rsidR="00161257" w:rsidRPr="00A37EA3">
        <w:rPr>
          <w:b/>
          <w:bCs/>
          <w:lang w:val="en-NZ"/>
        </w:rPr>
        <w:t>30A</w:t>
      </w:r>
      <w:r w:rsidR="00161257" w:rsidRPr="00A37EA3">
        <w:rPr>
          <w:lang w:val="en-NZ"/>
        </w:rPr>
        <w:t>, nor put any limitations or restrictions on the locations of the broadcasting-satellite service feeder-link earth stations anywhere within the service area of the feeder link</w:t>
      </w:r>
      <w:r w:rsidR="00161257" w:rsidRPr="00A37EA3">
        <w:rPr>
          <w:rFonts w:hint="eastAsia"/>
          <w:lang w:val="en-NZ"/>
        </w:rPr>
        <w:t>.</w:t>
      </w:r>
    </w:p>
    <w:p w14:paraId="01C68A49" w14:textId="27F89140" w:rsidR="00A37EA3" w:rsidRPr="00A37EA3" w:rsidRDefault="00A37EA3" w:rsidP="00A37EA3">
      <w:pPr>
        <w:pStyle w:val="ListParagraph"/>
        <w:numPr>
          <w:ilvl w:val="0"/>
          <w:numId w:val="28"/>
        </w:numPr>
        <w:spacing w:before="240" w:after="120"/>
        <w:jc w:val="both"/>
        <w:rPr>
          <w:rFonts w:eastAsia="Times New Roman" w:cs="Calibri"/>
          <w:color w:val="000000"/>
        </w:rPr>
      </w:pPr>
      <w:r>
        <w:rPr>
          <w:rFonts w:eastAsia="Times New Roman" w:cstheme="minorHAnsi"/>
          <w:color w:val="000000"/>
        </w:rPr>
        <w:lastRenderedPageBreak/>
        <w:t>T</w:t>
      </w:r>
      <w:r w:rsidR="00161257" w:rsidRPr="00A37EA3">
        <w:rPr>
          <w:rFonts w:eastAsia="Times New Roman" w:cstheme="minorHAnsi"/>
          <w:color w:val="000000"/>
        </w:rPr>
        <w:t xml:space="preserve">he new allocation to FSS in Region 2 </w:t>
      </w:r>
      <w:r w:rsidR="00161257" w:rsidRPr="00A37EA3">
        <w:rPr>
          <w:lang w:val="en-NZ"/>
        </w:rPr>
        <w:t>in the band 17.3-17.7 GHz (space-to-Earth)</w:t>
      </w:r>
      <w:r w:rsidR="00161257" w:rsidRPr="00A37EA3">
        <w:rPr>
          <w:rFonts w:eastAsia="Times New Roman" w:cstheme="minorHAnsi"/>
          <w:color w:val="000000"/>
        </w:rPr>
        <w:t xml:space="preserve"> </w:t>
      </w:r>
      <w:r w:rsidR="006C11FC">
        <w:rPr>
          <w:rFonts w:eastAsia="Times New Roman" w:cstheme="minorHAnsi"/>
          <w:color w:val="000000"/>
        </w:rPr>
        <w:t xml:space="preserve">shall </w:t>
      </w:r>
      <w:r w:rsidR="00161257" w:rsidRPr="00A37EA3">
        <w:rPr>
          <w:rFonts w:eastAsia="Times New Roman" w:cstheme="minorHAnsi"/>
          <w:color w:val="000000"/>
        </w:rPr>
        <w:t xml:space="preserve">not adversely affect existing allocations and services for </w:t>
      </w:r>
      <w:proofErr w:type="gramStart"/>
      <w:r w:rsidR="00161257" w:rsidRPr="00A37EA3">
        <w:rPr>
          <w:rFonts w:eastAsia="Times New Roman" w:cstheme="minorHAnsi"/>
          <w:color w:val="000000"/>
        </w:rPr>
        <w:t>Region</w:t>
      </w:r>
      <w:proofErr w:type="gramEnd"/>
      <w:r w:rsidR="00161257" w:rsidRPr="00A37EA3">
        <w:rPr>
          <w:rFonts w:eastAsia="Times New Roman" w:cstheme="minorHAnsi"/>
          <w:color w:val="000000"/>
        </w:rPr>
        <w:t xml:space="preserve"> 3 and</w:t>
      </w:r>
      <w:r w:rsidR="00161257" w:rsidRPr="00A37EA3">
        <w:rPr>
          <w:lang w:val="en-NZ"/>
        </w:rPr>
        <w:t xml:space="preserve"> </w:t>
      </w:r>
      <w:r w:rsidR="003F0C19">
        <w:rPr>
          <w:lang w:val="en-NZ"/>
        </w:rPr>
        <w:t>shall</w:t>
      </w:r>
      <w:r w:rsidR="00161257" w:rsidRPr="00A37EA3">
        <w:rPr>
          <w:lang w:val="en-NZ"/>
        </w:rPr>
        <w:t xml:space="preserve"> not impose any constraints to the incumbent services operating in the concerned frequency bands and adjacent bands in Region 3.</w:t>
      </w:r>
    </w:p>
    <w:p w14:paraId="0C399A6C" w14:textId="06E86169" w:rsidR="00A37EA3" w:rsidRPr="00A37EA3" w:rsidRDefault="00A37EA3" w:rsidP="00A37EA3">
      <w:pPr>
        <w:pStyle w:val="ListParagraph"/>
        <w:numPr>
          <w:ilvl w:val="0"/>
          <w:numId w:val="28"/>
        </w:numPr>
        <w:spacing w:before="240" w:after="120"/>
        <w:jc w:val="both"/>
        <w:rPr>
          <w:rFonts w:eastAsia="Times New Roman" w:cs="Calibri"/>
          <w:color w:val="000000"/>
        </w:rPr>
      </w:pPr>
      <w:r>
        <w:rPr>
          <w:rFonts w:eastAsia="Times New Roman" w:cstheme="minorHAnsi"/>
          <w:color w:val="000000"/>
        </w:rPr>
        <w:t>T</w:t>
      </w:r>
      <w:r w:rsidR="00161257" w:rsidRPr="00A37EA3">
        <w:rPr>
          <w:rFonts w:eastAsia="Times New Roman" w:cstheme="minorHAnsi"/>
          <w:color w:val="000000"/>
        </w:rPr>
        <w:t xml:space="preserve">he mitigation requirements referred to in Study #1 of the draft CPM text considered to </w:t>
      </w:r>
      <w:r w:rsidR="003F0C19">
        <w:rPr>
          <w:rFonts w:eastAsia="Times New Roman" w:cstheme="minorHAnsi"/>
          <w:color w:val="000000"/>
        </w:rPr>
        <w:t>avoid</w:t>
      </w:r>
      <w:r w:rsidR="00161257" w:rsidRPr="00A37EA3">
        <w:rPr>
          <w:rFonts w:eastAsia="Times New Roman" w:cstheme="minorHAnsi"/>
          <w:color w:val="000000"/>
        </w:rPr>
        <w:t xml:space="preserve"> significant interference in the equatorial-limb case should also be reflected in the form of regulatory procedures including the technical conditions in the proposed method to satisfy this agenda item and its associated regulatory text</w:t>
      </w:r>
      <w:r w:rsidRPr="00A37EA3">
        <w:rPr>
          <w:rFonts w:eastAsia="Times New Roman" w:cstheme="minorHAnsi"/>
          <w:color w:val="000000"/>
        </w:rPr>
        <w:t>.</w:t>
      </w:r>
    </w:p>
    <w:p w14:paraId="608BD93B" w14:textId="3DFB7B09" w:rsidR="00A37EA3" w:rsidRPr="00A37EA3" w:rsidRDefault="00A37EA3" w:rsidP="00A37EA3">
      <w:pPr>
        <w:pStyle w:val="ListParagraph"/>
        <w:numPr>
          <w:ilvl w:val="0"/>
          <w:numId w:val="28"/>
        </w:numPr>
        <w:spacing w:before="240" w:after="120"/>
        <w:jc w:val="both"/>
        <w:rPr>
          <w:rFonts w:eastAsia="Times New Roman" w:cs="Calibri"/>
          <w:color w:val="000000"/>
        </w:rPr>
      </w:pPr>
      <w:r>
        <w:rPr>
          <w:lang w:val="en-NZ"/>
        </w:rPr>
        <w:t>I</w:t>
      </w:r>
      <w:r w:rsidRPr="00A37EA3">
        <w:rPr>
          <w:lang w:val="en-NZ"/>
        </w:rPr>
        <w:t>t is also prepared to consider Method B at this stage, if the studies show that the new allocation is feasible and the protection of AP30A Feeder Link in Region 3 is addressed.</w:t>
      </w:r>
    </w:p>
    <w:p w14:paraId="37DA7FEE" w14:textId="77777777" w:rsidR="002A0111" w:rsidRPr="00441526" w:rsidRDefault="002A0111" w:rsidP="00551169">
      <w:pPr>
        <w:spacing w:after="120"/>
        <w:ind w:left="708"/>
        <w:jc w:val="both"/>
        <w:rPr>
          <w:lang w:val="en-NZ"/>
        </w:rPr>
      </w:pPr>
    </w:p>
    <w:p w14:paraId="546AA041" w14:textId="7777777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5B659424" w14:textId="5F03B490" w:rsidR="00835E76" w:rsidRPr="00551169" w:rsidRDefault="006A014C" w:rsidP="00254E19">
      <w:pPr>
        <w:spacing w:before="240" w:after="120"/>
        <w:ind w:left="709"/>
        <w:jc w:val="both"/>
        <w:rPr>
          <w:i/>
          <w:iCs/>
          <w:lang w:val="en-NZ"/>
        </w:rPr>
      </w:pPr>
      <w:r>
        <w:rPr>
          <w:lang w:val="en-NZ"/>
        </w:rPr>
        <w:t>None.</w:t>
      </w:r>
    </w:p>
    <w:p w14:paraId="278E603F" w14:textId="7AFE1AE0"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6BD96AFA" w14:textId="4CAC16B0" w:rsidR="0097584A" w:rsidRDefault="0097584A" w:rsidP="0097584A">
      <w:pPr>
        <w:spacing w:before="240"/>
        <w:ind w:left="709"/>
        <w:jc w:val="both"/>
        <w:rPr>
          <w:lang w:val="en-NZ"/>
        </w:rPr>
      </w:pPr>
      <w:r>
        <w:rPr>
          <w:lang w:val="en-NZ"/>
        </w:rPr>
        <w:t xml:space="preserve">APT Members are invited to follow the progress of the ITU-R studies and are encouraged to submit their contributions for further considerations at the next </w:t>
      </w:r>
      <w:r w:rsidR="003D5365">
        <w:rPr>
          <w:lang w:val="en-NZ"/>
        </w:rPr>
        <w:t xml:space="preserve">APG </w:t>
      </w:r>
      <w:r>
        <w:rPr>
          <w:lang w:val="en-NZ"/>
        </w:rPr>
        <w:t>meeting.</w:t>
      </w:r>
    </w:p>
    <w:p w14:paraId="350D51D8" w14:textId="77777777" w:rsidR="002A0111" w:rsidRPr="00441526" w:rsidRDefault="002A0111" w:rsidP="00551169">
      <w:pPr>
        <w:spacing w:after="120"/>
        <w:ind w:left="708"/>
        <w:jc w:val="both"/>
        <w:rPr>
          <w:lang w:val="en-NZ"/>
        </w:rPr>
      </w:pPr>
    </w:p>
    <w:p w14:paraId="5B098CA8"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0E746A26" w14:textId="25EEDF0E" w:rsidR="002A0111" w:rsidRPr="00441526" w:rsidRDefault="002A0111" w:rsidP="0039401B">
      <w:pPr>
        <w:ind w:firstLine="720"/>
        <w:jc w:val="both"/>
        <w:rPr>
          <w:lang w:val="en-NZ"/>
        </w:rPr>
      </w:pPr>
      <w:r w:rsidRPr="006F518F">
        <w:rPr>
          <w:lang w:val="en-NZ"/>
        </w:rPr>
        <w:t>APG</w:t>
      </w:r>
      <w:r w:rsidR="006B09DB">
        <w:rPr>
          <w:lang w:val="en-NZ"/>
        </w:rPr>
        <w:t>23</w:t>
      </w:r>
      <w:r w:rsidR="003D3D47">
        <w:rPr>
          <w:lang w:val="en-NZ"/>
        </w:rPr>
        <w:t>-</w:t>
      </w:r>
      <w:r w:rsidR="00EC3ED4">
        <w:rPr>
          <w:lang w:val="en-NZ"/>
        </w:rPr>
        <w:t>4</w:t>
      </w:r>
      <w:r w:rsidR="003D3D47">
        <w:rPr>
          <w:lang w:val="en-NZ"/>
        </w:rPr>
        <w:t>)</w:t>
      </w:r>
    </w:p>
    <w:p w14:paraId="068D2A12" w14:textId="72757365" w:rsidR="00346AA4" w:rsidRDefault="005206E9" w:rsidP="00346AA4">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A1D8242" w14:textId="239AD940" w:rsidR="00346AA4" w:rsidRPr="00441526" w:rsidRDefault="00346AA4" w:rsidP="00346AA4">
      <w:pPr>
        <w:spacing w:after="120"/>
        <w:jc w:val="both"/>
        <w:rPr>
          <w:b/>
          <w:lang w:val="en-NZ" w:eastAsia="ko-KR"/>
        </w:rPr>
      </w:pPr>
      <w:r>
        <w:rPr>
          <w:b/>
          <w:lang w:val="en-NZ" w:eastAsia="ko-KR"/>
        </w:rPr>
        <w:t>7</w:t>
      </w:r>
      <w:r w:rsidRPr="00441526">
        <w:rPr>
          <w:b/>
          <w:lang w:val="en-NZ" w:eastAsia="ko-KR"/>
        </w:rPr>
        <w:t>.1.</w:t>
      </w:r>
      <w:r>
        <w:rPr>
          <w:b/>
          <w:lang w:val="en-NZ" w:eastAsia="ko-KR"/>
        </w:rPr>
        <w:t>1</w:t>
      </w:r>
      <w:r w:rsidRPr="00441526">
        <w:rPr>
          <w:b/>
          <w:lang w:val="en-NZ" w:eastAsia="ko-KR"/>
        </w:rPr>
        <w:t xml:space="preserve"> </w:t>
      </w:r>
      <w:r w:rsidRPr="00441526">
        <w:rPr>
          <w:b/>
          <w:lang w:val="en-NZ" w:eastAsia="ko-KR"/>
        </w:rPr>
        <w:tab/>
        <w:t xml:space="preserve">ATU </w:t>
      </w:r>
      <w:r w:rsidRPr="00441526">
        <w:t xml:space="preserve">- </w:t>
      </w:r>
      <w:r w:rsidRPr="00441526">
        <w:rPr>
          <w:b/>
          <w:lang w:val="en-NZ" w:eastAsia="ko-KR"/>
        </w:rPr>
        <w:t>Document APG</w:t>
      </w:r>
      <w:r>
        <w:rPr>
          <w:b/>
          <w:lang w:val="en-NZ" w:eastAsia="ko-KR"/>
        </w:rPr>
        <w:t>23</w:t>
      </w:r>
      <w:r w:rsidRPr="00441526">
        <w:rPr>
          <w:b/>
          <w:lang w:val="en-NZ" w:eastAsia="ko-KR"/>
        </w:rPr>
        <w:t>-</w:t>
      </w:r>
      <w:r>
        <w:rPr>
          <w:b/>
          <w:lang w:val="en-NZ" w:eastAsia="ko-KR"/>
        </w:rPr>
        <w:t>4</w:t>
      </w:r>
      <w:r w:rsidRPr="00441526">
        <w:rPr>
          <w:b/>
          <w:lang w:val="en-NZ" w:eastAsia="ko-KR"/>
        </w:rPr>
        <w:t>/INF-</w:t>
      </w:r>
      <w:r>
        <w:rPr>
          <w:b/>
          <w:lang w:val="en-NZ" w:eastAsia="ko-KR"/>
        </w:rPr>
        <w:t>2</w:t>
      </w:r>
    </w:p>
    <w:p w14:paraId="291AD919" w14:textId="77777777" w:rsidR="00346AA4" w:rsidRPr="0039401B" w:rsidRDefault="00346AA4" w:rsidP="00346AA4">
      <w:pPr>
        <w:numPr>
          <w:ilvl w:val="0"/>
          <w:numId w:val="18"/>
        </w:numPr>
        <w:ind w:leftChars="145" w:left="708"/>
        <w:jc w:val="both"/>
        <w:rPr>
          <w:lang w:val="en-NZ"/>
        </w:rPr>
      </w:pPr>
      <w:r w:rsidRPr="0039401B">
        <w:rPr>
          <w:lang w:val="en-NZ"/>
        </w:rPr>
        <w:t xml:space="preserve">Decide that, as a matter of principle, any new primary allocation to FSS in the frequency band 17.3-17.7 GHz in Region 2 shall ensure the protection of existing services in the frequency band and adjacent bands in </w:t>
      </w:r>
      <w:proofErr w:type="gramStart"/>
      <w:r w:rsidRPr="0039401B">
        <w:rPr>
          <w:lang w:val="en-NZ"/>
        </w:rPr>
        <w:t>Region</w:t>
      </w:r>
      <w:proofErr w:type="gramEnd"/>
      <w:r w:rsidRPr="0039401B">
        <w:rPr>
          <w:lang w:val="en-NZ"/>
        </w:rPr>
        <w:t xml:space="preserve"> 1 and without adversely affecting the future developments of services in this band. </w:t>
      </w:r>
      <w:proofErr w:type="gramStart"/>
      <w:r w:rsidRPr="0039401B">
        <w:rPr>
          <w:lang w:val="en-NZ"/>
        </w:rPr>
        <w:t>In particular, any</w:t>
      </w:r>
      <w:proofErr w:type="gramEnd"/>
      <w:r w:rsidRPr="0039401B">
        <w:rPr>
          <w:lang w:val="en-NZ"/>
        </w:rPr>
        <w:t xml:space="preserve"> new allocation in R2 in the band 17.3-17.7 GHz, shall not claim protection from the broadcasting-satellite service feeder-link earth stations operating under Appendix </w:t>
      </w:r>
      <w:r w:rsidRPr="006F07D4">
        <w:rPr>
          <w:b/>
          <w:bCs/>
          <w:lang w:val="en-NZ"/>
        </w:rPr>
        <w:t>30A</w:t>
      </w:r>
      <w:r w:rsidRPr="0039401B">
        <w:rPr>
          <w:lang w:val="en-NZ"/>
        </w:rPr>
        <w:t>, nor put any limitations or restrictions on the locations of the broadcasting-satellite service feeder-link earth stations anywhere within the service area of the feeder link.</w:t>
      </w:r>
    </w:p>
    <w:p w14:paraId="060753A0" w14:textId="77777777" w:rsidR="00346AA4" w:rsidRDefault="00346AA4" w:rsidP="00346AA4">
      <w:pPr>
        <w:numPr>
          <w:ilvl w:val="0"/>
          <w:numId w:val="18"/>
        </w:numPr>
        <w:ind w:leftChars="145" w:left="708"/>
        <w:jc w:val="both"/>
        <w:rPr>
          <w:lang w:val="en-NZ"/>
        </w:rPr>
      </w:pPr>
      <w:r w:rsidRPr="0039401B">
        <w:rPr>
          <w:lang w:val="en-NZ"/>
        </w:rPr>
        <w:t>Support the development of the necessary regulatory procedures including the technical and operational procedures to ensure the protection for existing services in band and the adjacent band.</w:t>
      </w:r>
    </w:p>
    <w:p w14:paraId="0B10446B" w14:textId="77777777" w:rsidR="00346AA4" w:rsidRDefault="00346AA4" w:rsidP="002A0111">
      <w:pPr>
        <w:spacing w:after="120"/>
        <w:jc w:val="both"/>
        <w:rPr>
          <w:b/>
          <w:lang w:val="en-NZ" w:eastAsia="ko-KR"/>
        </w:rPr>
      </w:pPr>
    </w:p>
    <w:p w14:paraId="0CAA0FA0" w14:textId="4697B5ED"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346AA4">
        <w:rPr>
          <w:b/>
          <w:lang w:val="en-NZ" w:eastAsia="ko-KR"/>
        </w:rPr>
        <w:t>2</w:t>
      </w:r>
      <w:r w:rsidR="002A0111" w:rsidRPr="00441526">
        <w:rPr>
          <w:b/>
          <w:lang w:val="en-NZ" w:eastAsia="ko-KR"/>
        </w:rPr>
        <w:t xml:space="preserve"> </w:t>
      </w:r>
      <w:r w:rsidR="002A0111" w:rsidRPr="00441526">
        <w:rPr>
          <w:b/>
          <w:lang w:val="en-NZ" w:eastAsia="ko-KR"/>
        </w:rPr>
        <w:tab/>
        <w:t>ASMG</w:t>
      </w:r>
      <w:r w:rsidR="002A0111" w:rsidRPr="00441526">
        <w:t xml:space="preserve"> - </w:t>
      </w:r>
      <w:r w:rsidR="002A0111" w:rsidRPr="00441526">
        <w:rPr>
          <w:b/>
          <w:lang w:val="en-NZ" w:eastAsia="ko-KR"/>
        </w:rPr>
        <w:t>Document APG</w:t>
      </w:r>
      <w:r w:rsidR="006B09DB">
        <w:rPr>
          <w:b/>
          <w:lang w:val="en-NZ" w:eastAsia="ko-KR"/>
        </w:rPr>
        <w:t>23-</w:t>
      </w:r>
      <w:r w:rsidR="00F00939">
        <w:rPr>
          <w:b/>
          <w:lang w:val="en-NZ" w:eastAsia="ko-KR"/>
        </w:rPr>
        <w:t>4</w:t>
      </w:r>
      <w:r w:rsidR="002A0111" w:rsidRPr="00441526">
        <w:rPr>
          <w:b/>
          <w:lang w:val="en-NZ" w:eastAsia="ko-KR"/>
        </w:rPr>
        <w:t>/INF-</w:t>
      </w:r>
      <w:r w:rsidR="0039401B">
        <w:rPr>
          <w:b/>
          <w:lang w:val="en-NZ" w:eastAsia="ko-KR"/>
        </w:rPr>
        <w:t>21</w:t>
      </w:r>
    </w:p>
    <w:p w14:paraId="02D73C92" w14:textId="29CA8D5F" w:rsidR="0039401B" w:rsidRPr="0039401B" w:rsidRDefault="0039401B" w:rsidP="0039401B">
      <w:pPr>
        <w:numPr>
          <w:ilvl w:val="0"/>
          <w:numId w:val="18"/>
        </w:numPr>
        <w:ind w:leftChars="145" w:left="708"/>
        <w:jc w:val="both"/>
        <w:rPr>
          <w:lang w:val="en-NZ"/>
        </w:rPr>
      </w:pPr>
      <w:r w:rsidRPr="0039401B">
        <w:rPr>
          <w:lang w:val="en-NZ"/>
        </w:rPr>
        <w:t xml:space="preserve">The new allocation in </w:t>
      </w:r>
      <w:proofErr w:type="gramStart"/>
      <w:r w:rsidRPr="0039401B">
        <w:rPr>
          <w:lang w:val="en-NZ"/>
        </w:rPr>
        <w:t>Region</w:t>
      </w:r>
      <w:proofErr w:type="gramEnd"/>
      <w:r w:rsidRPr="0039401B">
        <w:rPr>
          <w:lang w:val="en-NZ"/>
        </w:rPr>
        <w:t xml:space="preserve"> 2 should ensure protection of existing services in same frequency band and adjacent bands in Region 1. </w:t>
      </w:r>
    </w:p>
    <w:p w14:paraId="71DC2EB2" w14:textId="00EE98C1" w:rsidR="0039401B" w:rsidRPr="0039401B" w:rsidRDefault="0039401B" w:rsidP="0039401B">
      <w:pPr>
        <w:numPr>
          <w:ilvl w:val="0"/>
          <w:numId w:val="18"/>
        </w:numPr>
        <w:ind w:leftChars="145" w:left="708"/>
        <w:jc w:val="both"/>
        <w:rPr>
          <w:lang w:val="en-NZ"/>
        </w:rPr>
      </w:pPr>
      <w:r w:rsidRPr="0039401B">
        <w:rPr>
          <w:lang w:val="en-NZ"/>
        </w:rPr>
        <w:t xml:space="preserve">Develop the necessary technical, operational and regulatory measures in order to ensure the protection of existing services in the bandwidth and adjacent bands in </w:t>
      </w:r>
      <w:proofErr w:type="gramStart"/>
      <w:r w:rsidRPr="0039401B">
        <w:rPr>
          <w:lang w:val="en-NZ"/>
        </w:rPr>
        <w:t>Region</w:t>
      </w:r>
      <w:proofErr w:type="gramEnd"/>
      <w:r w:rsidRPr="0039401B">
        <w:rPr>
          <w:lang w:val="en-NZ"/>
        </w:rPr>
        <w:t xml:space="preserve"> 1. </w:t>
      </w:r>
    </w:p>
    <w:p w14:paraId="4674BD57" w14:textId="77777777" w:rsidR="00346AA4" w:rsidRDefault="00346AA4" w:rsidP="00346AA4">
      <w:pPr>
        <w:spacing w:after="120"/>
        <w:jc w:val="both"/>
        <w:rPr>
          <w:b/>
          <w:lang w:val="en-NZ" w:eastAsia="ko-KR"/>
        </w:rPr>
      </w:pPr>
    </w:p>
    <w:p w14:paraId="16D6FB81" w14:textId="4E0CF2BC" w:rsidR="00346AA4" w:rsidRPr="00346AA4" w:rsidRDefault="00346AA4" w:rsidP="00346AA4">
      <w:pPr>
        <w:spacing w:after="120"/>
        <w:jc w:val="both"/>
        <w:rPr>
          <w:b/>
          <w:lang w:val="en-NZ" w:eastAsia="ko-KR"/>
        </w:rPr>
      </w:pPr>
      <w:r w:rsidRPr="00346AA4">
        <w:rPr>
          <w:b/>
          <w:lang w:val="en-NZ" w:eastAsia="ko-KR"/>
        </w:rPr>
        <w:t>7.1.</w:t>
      </w:r>
      <w:r>
        <w:rPr>
          <w:b/>
          <w:lang w:val="en-NZ" w:eastAsia="ko-KR"/>
        </w:rPr>
        <w:t>3</w:t>
      </w:r>
      <w:r w:rsidRPr="00346AA4">
        <w:rPr>
          <w:b/>
          <w:lang w:val="en-NZ" w:eastAsia="ko-KR"/>
        </w:rPr>
        <w:t xml:space="preserve"> </w:t>
      </w:r>
      <w:r w:rsidRPr="00346AA4">
        <w:rPr>
          <w:b/>
          <w:lang w:val="en-NZ" w:eastAsia="ko-KR"/>
        </w:rPr>
        <w:tab/>
        <w:t xml:space="preserve">CITEL </w:t>
      </w:r>
      <w:r w:rsidRPr="00441526">
        <w:t xml:space="preserve">- </w:t>
      </w:r>
      <w:r w:rsidRPr="00346AA4">
        <w:rPr>
          <w:b/>
          <w:lang w:val="en-NZ" w:eastAsia="ko-KR"/>
        </w:rPr>
        <w:t>Document APG23-4/INF-28(Rev.1)</w:t>
      </w:r>
    </w:p>
    <w:p w14:paraId="507B52E9" w14:textId="77777777" w:rsidR="00346AA4" w:rsidRPr="00346AA4" w:rsidRDefault="00346AA4" w:rsidP="00346AA4">
      <w:pPr>
        <w:ind w:left="708"/>
        <w:jc w:val="both"/>
        <w:rPr>
          <w:lang w:val="en-NZ"/>
        </w:rPr>
      </w:pPr>
      <w:r w:rsidRPr="00346AA4">
        <w:rPr>
          <w:lang w:val="en-NZ"/>
        </w:rPr>
        <w:lastRenderedPageBreak/>
        <w:t xml:space="preserve">Some Administrations support conducting studies in accordance with Resolution 174 (WRC-19) to facilitate a new FSS downlink allocation in the frequency range 17.3-17.7 GHz in Region 2. WRC-23 action would be subject to the development of the appropriate regulatory provisions and coordination mechanisms to protect Appendix 30A BSS feeder links and the BSS downlinks, while also </w:t>
      </w:r>
      <w:proofErr w:type="gramStart"/>
      <w:r w:rsidRPr="00346AA4">
        <w:rPr>
          <w:lang w:val="en-NZ"/>
        </w:rPr>
        <w:t>taking into account</w:t>
      </w:r>
      <w:proofErr w:type="gramEnd"/>
      <w:r w:rsidRPr="00346AA4">
        <w:rPr>
          <w:lang w:val="en-NZ"/>
        </w:rPr>
        <w:t xml:space="preserve"> the need to ensure the protection of existing primary services in this band and the adjacent bands. </w:t>
      </w:r>
    </w:p>
    <w:p w14:paraId="2628A6B0" w14:textId="77777777" w:rsidR="00346AA4" w:rsidRPr="00346AA4" w:rsidRDefault="00346AA4" w:rsidP="00346AA4">
      <w:pPr>
        <w:pStyle w:val="ListParagraph"/>
        <w:spacing w:after="120"/>
        <w:ind w:left="280"/>
        <w:jc w:val="both"/>
        <w:rPr>
          <w:b/>
          <w:lang w:val="en-NZ" w:eastAsia="ko-KR"/>
        </w:rPr>
      </w:pPr>
    </w:p>
    <w:p w14:paraId="008F72F3" w14:textId="01B9B0DC" w:rsidR="00346AA4" w:rsidRPr="00346AA4" w:rsidRDefault="00346AA4" w:rsidP="00346AA4">
      <w:pPr>
        <w:spacing w:after="120"/>
        <w:jc w:val="both"/>
        <w:rPr>
          <w:b/>
          <w:lang w:val="en-NZ" w:eastAsia="ko-KR"/>
        </w:rPr>
      </w:pPr>
      <w:r w:rsidRPr="00346AA4">
        <w:rPr>
          <w:b/>
          <w:lang w:val="en-NZ" w:eastAsia="ko-KR"/>
        </w:rPr>
        <w:t>7.1.</w:t>
      </w:r>
      <w:r>
        <w:rPr>
          <w:b/>
          <w:lang w:val="en-NZ" w:eastAsia="ko-KR"/>
        </w:rPr>
        <w:t>4</w:t>
      </w:r>
      <w:r w:rsidRPr="00346AA4">
        <w:rPr>
          <w:b/>
          <w:lang w:val="en-NZ" w:eastAsia="ko-KR"/>
        </w:rPr>
        <w:t xml:space="preserve"> </w:t>
      </w:r>
      <w:r w:rsidRPr="00346AA4">
        <w:rPr>
          <w:b/>
          <w:lang w:val="en-NZ" w:eastAsia="ko-KR"/>
        </w:rPr>
        <w:tab/>
        <w:t xml:space="preserve">RCC </w:t>
      </w:r>
      <w:r w:rsidRPr="00441526">
        <w:t xml:space="preserve">- </w:t>
      </w:r>
      <w:r w:rsidRPr="00346AA4">
        <w:rPr>
          <w:b/>
          <w:lang w:val="en-NZ" w:eastAsia="ko-KR"/>
        </w:rPr>
        <w:t>Document APG23-4/INF-44</w:t>
      </w:r>
    </w:p>
    <w:p w14:paraId="1A6CB239" w14:textId="2E97798A" w:rsidR="002A0111" w:rsidRPr="00441526" w:rsidRDefault="00346AA4" w:rsidP="00346AA4">
      <w:pPr>
        <w:ind w:left="708"/>
        <w:jc w:val="both"/>
        <w:rPr>
          <w:lang w:val="en-NZ"/>
        </w:rPr>
      </w:pPr>
      <w:r w:rsidRPr="00346AA4">
        <w:rPr>
          <w:lang w:val="en-NZ"/>
        </w:rPr>
        <w:t>None.</w:t>
      </w:r>
    </w:p>
    <w:p w14:paraId="0F87ABFB" w14:textId="77777777" w:rsidR="0039401B" w:rsidRPr="0039401B" w:rsidRDefault="0039401B" w:rsidP="00346AA4">
      <w:pPr>
        <w:pStyle w:val="ListParagraph"/>
        <w:spacing w:after="120"/>
        <w:ind w:left="280"/>
        <w:jc w:val="both"/>
        <w:rPr>
          <w:lang w:val="en-NZ"/>
        </w:rPr>
      </w:pPr>
    </w:p>
    <w:p w14:paraId="2B33EE74" w14:textId="1D9C717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.1.</w:t>
      </w:r>
      <w:r w:rsidR="00346AA4">
        <w:rPr>
          <w:b/>
          <w:lang w:val="en-NZ" w:eastAsia="ko-KR"/>
        </w:rPr>
        <w:t>5</w:t>
      </w:r>
      <w:r w:rsidR="002A0111" w:rsidRPr="00441526">
        <w:rPr>
          <w:b/>
          <w:lang w:val="en-NZ" w:eastAsia="ko-KR"/>
        </w:rPr>
        <w:t xml:space="preserve"> </w:t>
      </w:r>
      <w:r w:rsidR="002A0111" w:rsidRPr="00441526">
        <w:rPr>
          <w:b/>
          <w:lang w:val="en-NZ" w:eastAsia="ko-KR"/>
        </w:rPr>
        <w:tab/>
        <w:t xml:space="preserve">CEPT </w:t>
      </w:r>
      <w:r w:rsidR="002A0111" w:rsidRPr="00441526">
        <w:t xml:space="preserve">- </w:t>
      </w:r>
      <w:r w:rsidR="002A0111" w:rsidRPr="00441526">
        <w:rPr>
          <w:b/>
          <w:lang w:val="en-NZ" w:eastAsia="ko-KR"/>
        </w:rPr>
        <w:t>Document APG</w:t>
      </w:r>
      <w:r w:rsidR="006B09DB">
        <w:rPr>
          <w:b/>
          <w:lang w:val="en-NZ" w:eastAsia="ko-KR"/>
        </w:rPr>
        <w:t>23</w:t>
      </w:r>
      <w:r w:rsidR="002A0111" w:rsidRPr="00441526">
        <w:rPr>
          <w:b/>
          <w:lang w:val="en-NZ" w:eastAsia="ko-KR"/>
        </w:rPr>
        <w:t>-</w:t>
      </w:r>
      <w:r w:rsidR="00F00939">
        <w:rPr>
          <w:b/>
          <w:lang w:val="en-NZ" w:eastAsia="ko-KR"/>
        </w:rPr>
        <w:t>4</w:t>
      </w:r>
      <w:r w:rsidR="002A0111" w:rsidRPr="00441526">
        <w:rPr>
          <w:b/>
          <w:lang w:val="en-NZ" w:eastAsia="ko-KR"/>
        </w:rPr>
        <w:t>/INF-</w:t>
      </w:r>
      <w:r w:rsidR="0039401B">
        <w:rPr>
          <w:b/>
          <w:lang w:val="en-NZ" w:eastAsia="ko-KR"/>
        </w:rPr>
        <w:t>48</w:t>
      </w:r>
    </w:p>
    <w:p w14:paraId="4A57B920" w14:textId="511947CD" w:rsidR="00331002" w:rsidRPr="00441526" w:rsidRDefault="00331002" w:rsidP="00331002">
      <w:pPr>
        <w:ind w:left="708"/>
        <w:jc w:val="both"/>
        <w:rPr>
          <w:lang w:val="en-NZ"/>
        </w:rPr>
      </w:pPr>
      <w:r w:rsidRPr="00331002">
        <w:rPr>
          <w:lang w:val="en-NZ"/>
        </w:rPr>
        <w:t xml:space="preserve">CEPT supports a new FSS (space‐to‐Earth) allocation in </w:t>
      </w:r>
      <w:proofErr w:type="gramStart"/>
      <w:r w:rsidRPr="00331002">
        <w:rPr>
          <w:lang w:val="en-NZ"/>
        </w:rPr>
        <w:t>Region</w:t>
      </w:r>
      <w:proofErr w:type="gramEnd"/>
      <w:r w:rsidRPr="00331002">
        <w:rPr>
          <w:lang w:val="en-NZ"/>
        </w:rPr>
        <w:t xml:space="preserve"> 2 in the frequency band 17.3‐17.7 GHz, which facilitates the use of spectrum available to networks and systems in the FSS across Regions. </w:t>
      </w:r>
    </w:p>
    <w:p w14:paraId="62C7E016" w14:textId="77777777" w:rsidR="002A0111" w:rsidRPr="00441526" w:rsidRDefault="002A0111" w:rsidP="002A0111">
      <w:pPr>
        <w:rPr>
          <w:lang w:val="en-NZ"/>
        </w:rPr>
      </w:pPr>
    </w:p>
    <w:p w14:paraId="28EC94BE" w14:textId="77777777"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17131451" w14:textId="22FCEDC6" w:rsidR="002A0111" w:rsidRPr="002752C9" w:rsidRDefault="005206E9" w:rsidP="002A0111">
      <w:pPr>
        <w:spacing w:after="120"/>
        <w:jc w:val="both"/>
        <w:rPr>
          <w:b/>
          <w:lang w:val="en-ID" w:eastAsia="ko-KR"/>
        </w:rPr>
      </w:pPr>
      <w:r w:rsidRPr="002752C9">
        <w:rPr>
          <w:b/>
          <w:lang w:val="en-ID" w:eastAsia="ko-KR"/>
        </w:rPr>
        <w:t>7</w:t>
      </w:r>
      <w:r w:rsidR="002A0111" w:rsidRPr="002752C9">
        <w:rPr>
          <w:b/>
          <w:lang w:val="en-ID" w:eastAsia="ko-KR"/>
        </w:rPr>
        <w:t xml:space="preserve">.2.1 </w:t>
      </w:r>
      <w:r w:rsidR="002A0111" w:rsidRPr="002752C9">
        <w:rPr>
          <w:b/>
          <w:lang w:val="en-ID" w:eastAsia="ko-KR"/>
        </w:rPr>
        <w:tab/>
      </w:r>
      <w:r w:rsidR="00BF4446" w:rsidRPr="002752C9">
        <w:rPr>
          <w:b/>
          <w:lang w:val="en-ID" w:eastAsia="ko-KR"/>
        </w:rPr>
        <w:t>WMO</w:t>
      </w:r>
      <w:r w:rsidR="002A0111" w:rsidRPr="002752C9">
        <w:rPr>
          <w:b/>
          <w:lang w:val="en-ID" w:eastAsia="ko-KR"/>
        </w:rPr>
        <w:t xml:space="preserve"> </w:t>
      </w:r>
      <w:r w:rsidR="002A0111" w:rsidRPr="002752C9">
        <w:rPr>
          <w:lang w:val="en-ID"/>
        </w:rPr>
        <w:t xml:space="preserve">- </w:t>
      </w:r>
      <w:r w:rsidR="002A0111" w:rsidRPr="002752C9">
        <w:rPr>
          <w:b/>
          <w:lang w:val="en-ID" w:eastAsia="ko-KR"/>
        </w:rPr>
        <w:t>Document APG</w:t>
      </w:r>
      <w:r w:rsidR="006B09DB" w:rsidRPr="002752C9">
        <w:rPr>
          <w:b/>
          <w:lang w:val="en-ID" w:eastAsia="ko-KR"/>
        </w:rPr>
        <w:t>23</w:t>
      </w:r>
      <w:r w:rsidR="002A0111" w:rsidRPr="002752C9">
        <w:rPr>
          <w:b/>
          <w:lang w:val="en-ID" w:eastAsia="ko-KR"/>
        </w:rPr>
        <w:t>-</w:t>
      </w:r>
      <w:r w:rsidR="00F00939" w:rsidRPr="002752C9">
        <w:rPr>
          <w:b/>
          <w:lang w:val="en-ID" w:eastAsia="ko-KR"/>
        </w:rPr>
        <w:t>4</w:t>
      </w:r>
      <w:r w:rsidR="002A0111" w:rsidRPr="002752C9">
        <w:rPr>
          <w:b/>
          <w:lang w:val="en-ID" w:eastAsia="ko-KR"/>
        </w:rPr>
        <w:t>/INF-</w:t>
      </w:r>
      <w:r w:rsidR="00BF4446" w:rsidRPr="002752C9">
        <w:rPr>
          <w:b/>
          <w:lang w:val="en-ID" w:eastAsia="ko-KR"/>
        </w:rPr>
        <w:t>03</w:t>
      </w:r>
    </w:p>
    <w:p w14:paraId="51FF325A" w14:textId="74E6C493" w:rsidR="002A0111" w:rsidRPr="006F07D4" w:rsidRDefault="00331002" w:rsidP="00331002">
      <w:pPr>
        <w:ind w:left="708"/>
        <w:rPr>
          <w:lang w:val="it-IT"/>
        </w:rPr>
      </w:pPr>
      <w:r w:rsidRPr="006F07D4">
        <w:rPr>
          <w:lang w:val="it-IT"/>
        </w:rPr>
        <w:t>None.</w:t>
      </w:r>
    </w:p>
    <w:p w14:paraId="463B991C" w14:textId="77777777" w:rsidR="002A0111" w:rsidRPr="006F07D4" w:rsidRDefault="002A0111" w:rsidP="002A0111">
      <w:pPr>
        <w:rPr>
          <w:lang w:val="it-IT"/>
        </w:rPr>
      </w:pPr>
    </w:p>
    <w:p w14:paraId="776DAF05" w14:textId="19D67CA8" w:rsidR="002A0111" w:rsidRPr="002752C9" w:rsidRDefault="005206E9" w:rsidP="002A0111">
      <w:pPr>
        <w:spacing w:after="120"/>
        <w:jc w:val="both"/>
        <w:rPr>
          <w:b/>
          <w:lang w:val="it-IT" w:eastAsia="ko-KR"/>
        </w:rPr>
      </w:pPr>
      <w:r w:rsidRPr="002752C9">
        <w:rPr>
          <w:b/>
          <w:lang w:val="it-IT" w:eastAsia="ko-KR"/>
        </w:rPr>
        <w:t>7</w:t>
      </w:r>
      <w:r w:rsidR="002A0111" w:rsidRPr="002752C9">
        <w:rPr>
          <w:b/>
          <w:lang w:val="it-IT" w:eastAsia="ko-KR"/>
        </w:rPr>
        <w:t xml:space="preserve">.2.2 </w:t>
      </w:r>
      <w:r w:rsidR="002A0111" w:rsidRPr="002752C9">
        <w:rPr>
          <w:b/>
          <w:lang w:val="it-IT" w:eastAsia="ko-KR"/>
        </w:rPr>
        <w:tab/>
      </w:r>
      <w:r w:rsidR="00BF4446" w:rsidRPr="002752C9">
        <w:rPr>
          <w:b/>
          <w:lang w:val="it-IT" w:eastAsia="ko-KR"/>
        </w:rPr>
        <w:t>IARU</w:t>
      </w:r>
      <w:r w:rsidR="002A0111" w:rsidRPr="002752C9">
        <w:rPr>
          <w:b/>
          <w:lang w:val="it-IT" w:eastAsia="ko-KR"/>
        </w:rPr>
        <w:t xml:space="preserve"> </w:t>
      </w:r>
      <w:r w:rsidR="002A0111" w:rsidRPr="002752C9">
        <w:rPr>
          <w:lang w:val="it-IT"/>
        </w:rPr>
        <w:t xml:space="preserve">- </w:t>
      </w:r>
      <w:r w:rsidR="002A0111" w:rsidRPr="002752C9">
        <w:rPr>
          <w:b/>
          <w:lang w:val="it-IT" w:eastAsia="ko-KR"/>
        </w:rPr>
        <w:t>Document APG</w:t>
      </w:r>
      <w:r w:rsidR="006B09DB" w:rsidRPr="002752C9">
        <w:rPr>
          <w:b/>
          <w:lang w:val="it-IT" w:eastAsia="ko-KR"/>
        </w:rPr>
        <w:t>23</w:t>
      </w:r>
      <w:r w:rsidR="002A0111" w:rsidRPr="002752C9">
        <w:rPr>
          <w:b/>
          <w:lang w:val="it-IT" w:eastAsia="ko-KR"/>
        </w:rPr>
        <w:t>-</w:t>
      </w:r>
      <w:r w:rsidR="00F00939" w:rsidRPr="002752C9">
        <w:rPr>
          <w:b/>
          <w:lang w:val="it-IT" w:eastAsia="ko-KR"/>
        </w:rPr>
        <w:t>4</w:t>
      </w:r>
      <w:r w:rsidR="002A0111" w:rsidRPr="002752C9">
        <w:rPr>
          <w:b/>
          <w:lang w:val="it-IT" w:eastAsia="ko-KR"/>
        </w:rPr>
        <w:t>/INF-</w:t>
      </w:r>
      <w:r w:rsidR="00BF4446" w:rsidRPr="002752C9">
        <w:rPr>
          <w:b/>
          <w:lang w:val="it-IT" w:eastAsia="ko-KR"/>
        </w:rPr>
        <w:t>27</w:t>
      </w:r>
    </w:p>
    <w:p w14:paraId="45E04994" w14:textId="08B75BEC" w:rsidR="002A0111" w:rsidRPr="00441526" w:rsidRDefault="00BF4446" w:rsidP="00BF4446">
      <w:pPr>
        <w:ind w:left="708"/>
        <w:rPr>
          <w:lang w:val="en-NZ"/>
        </w:rPr>
      </w:pPr>
      <w:r>
        <w:rPr>
          <w:lang w:val="en-NZ"/>
        </w:rPr>
        <w:t>None</w:t>
      </w:r>
      <w:r w:rsidR="002A0111" w:rsidRPr="00441526">
        <w:rPr>
          <w:lang w:val="en-NZ"/>
        </w:rPr>
        <w:t>.</w:t>
      </w:r>
    </w:p>
    <w:p w14:paraId="487388DC" w14:textId="77777777" w:rsidR="002A0111" w:rsidRPr="00441526" w:rsidRDefault="002A0111" w:rsidP="002A0111">
      <w:pPr>
        <w:rPr>
          <w:lang w:val="en-NZ"/>
        </w:rPr>
      </w:pPr>
    </w:p>
    <w:p w14:paraId="13562E73" w14:textId="77777777" w:rsidR="002A0111" w:rsidRPr="00441526" w:rsidRDefault="002A0111" w:rsidP="002A0111">
      <w:pPr>
        <w:jc w:val="both"/>
        <w:rPr>
          <w:lang w:val="en-NZ"/>
        </w:rPr>
      </w:pPr>
    </w:p>
    <w:p w14:paraId="6C40B30A" w14:textId="77777777" w:rsidR="002A0111" w:rsidRPr="00441526" w:rsidRDefault="002A0111" w:rsidP="002A0111">
      <w:pPr>
        <w:rPr>
          <w:b/>
          <w:lang w:val="en-NZ"/>
        </w:rPr>
      </w:pPr>
    </w:p>
    <w:p w14:paraId="47D45828" w14:textId="7270B6BE" w:rsidR="00654896" w:rsidRPr="00346AA4" w:rsidRDefault="002A0111" w:rsidP="00346AA4">
      <w:pPr>
        <w:jc w:val="center"/>
        <w:rPr>
          <w:snapToGrid w:val="0"/>
          <w:lang w:val="en-NZ"/>
        </w:rPr>
      </w:pPr>
      <w:r w:rsidRPr="00441526">
        <w:rPr>
          <w:lang w:val="en-NZ"/>
        </w:rPr>
        <w:t>____________</w:t>
      </w:r>
    </w:p>
    <w:sectPr w:rsidR="00654896" w:rsidRPr="00346AA4" w:rsidSect="00C516C7">
      <w:headerReference w:type="default" r:id="rId22"/>
      <w:footerReference w:type="even" r:id="rId23"/>
      <w:footerReference w:type="default" r:id="rId24"/>
      <w:headerReference w:type="first" r:id="rId25"/>
      <w:footerReference w:type="first" r:id="rId26"/>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255E" w14:textId="77777777" w:rsidR="00800B8A" w:rsidRDefault="00800B8A">
      <w:r>
        <w:separator/>
      </w:r>
    </w:p>
  </w:endnote>
  <w:endnote w:type="continuationSeparator" w:id="0">
    <w:p w14:paraId="75B45F59" w14:textId="77777777" w:rsidR="00800B8A" w:rsidRDefault="00800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ulimChe">
    <w:altName w:val="굴림체"/>
    <w:charset w:val="81"/>
    <w:family w:val="modern"/>
    <w:pitch w:val="fixed"/>
    <w:sig w:usb0="B00002AF" w:usb1="69D77CFB" w:usb2="00000030" w:usb3="00000000" w:csb0="0008009F" w:csb1="00000000"/>
  </w:font>
  <w:font w:name="BatangChe">
    <w:altName w:val="Arial Unicode MS"/>
    <w:charset w:val="81"/>
    <w:family w:val="modern"/>
    <w:pitch w:val="fixed"/>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Cordia New">
    <w:panose1 w:val="020B0304020202020204"/>
    <w:charset w:val="00"/>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0DE4B"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C81F7" w14:textId="77777777" w:rsidR="0097693B" w:rsidRDefault="0097693B"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3FC6A" w14:textId="1F8E1BD9" w:rsidR="0097693B" w:rsidRDefault="0092727B" w:rsidP="0092727B">
    <w:pPr>
      <w:pStyle w:val="Footer"/>
      <w:tabs>
        <w:tab w:val="clear" w:pos="4320"/>
        <w:tab w:val="clear" w:pos="8640"/>
        <w:tab w:val="right" w:pos="9180"/>
      </w:tabs>
      <w:ind w:right="-7"/>
    </w:pPr>
    <w:r>
      <w:rPr>
        <w:rFonts w:hint="eastAsia"/>
        <w:lang w:eastAsia="ko-KR"/>
      </w:rPr>
      <w:t>A</w:t>
    </w:r>
    <w:r w:rsidR="009C7235">
      <w:rPr>
        <w:lang w:eastAsia="ko-KR"/>
      </w:rPr>
      <w:t>PG</w:t>
    </w:r>
    <w:r w:rsidR="006B09DB">
      <w:rPr>
        <w:lang w:eastAsia="ko-KR"/>
      </w:rPr>
      <w:t>23</w:t>
    </w:r>
    <w:r w:rsidR="009C7235">
      <w:rPr>
        <w:lang w:eastAsia="ko-KR"/>
      </w:rPr>
      <w:t>-</w:t>
    </w:r>
    <w:r w:rsidR="00F00939">
      <w:rPr>
        <w:lang w:eastAsia="ko-KR"/>
      </w:rPr>
      <w:t>4</w:t>
    </w:r>
    <w:r w:rsidR="002A0111">
      <w:rPr>
        <w:lang w:eastAsia="ko-KR"/>
      </w:rPr>
      <w:t>/</w:t>
    </w:r>
    <w:r w:rsidR="004533C4">
      <w:rPr>
        <w:lang w:eastAsia="ko-KR"/>
      </w:rPr>
      <w:t>OUT</w:t>
    </w:r>
    <w:r>
      <w:rPr>
        <w:lang w:eastAsia="ko-KR"/>
      </w:rPr>
      <w:t>-</w:t>
    </w:r>
    <w:r w:rsidR="004533C4">
      <w:rPr>
        <w:lang w:eastAsia="ko-KR"/>
      </w:rPr>
      <w:t>32</w:t>
    </w:r>
    <w:r w:rsidR="00D20C13">
      <w:rPr>
        <w:lang w:eastAsia="ko-KR"/>
      </w:rPr>
      <w:t>(Rev.1)</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E81CA9">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E81CA9">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4374"/>
      <w:gridCol w:w="3690"/>
    </w:tblGrid>
    <w:tr w:rsidR="0092727B" w:rsidRPr="002752C9" w14:paraId="0F6B4D27" w14:textId="77777777" w:rsidTr="003D7E1E">
      <w:trPr>
        <w:trHeight w:val="432"/>
      </w:trPr>
      <w:tc>
        <w:tcPr>
          <w:tcW w:w="1296" w:type="dxa"/>
          <w:tcBorders>
            <w:top w:val="single" w:sz="8" w:space="0" w:color="auto"/>
            <w:bottom w:val="nil"/>
            <w:right w:val="nil"/>
          </w:tcBorders>
        </w:tcPr>
        <w:p w14:paraId="2F9F6BCF" w14:textId="77777777" w:rsidR="0092727B" w:rsidRDefault="0092727B" w:rsidP="0092727B">
          <w:pPr>
            <w:pStyle w:val="Footer"/>
            <w:tabs>
              <w:tab w:val="clear" w:pos="4320"/>
              <w:tab w:val="clear" w:pos="8640"/>
            </w:tabs>
            <w:rPr>
              <w:sz w:val="16"/>
              <w:szCs w:val="16"/>
            </w:rPr>
          </w:pPr>
          <w:r>
            <w:rPr>
              <w:b/>
              <w:bCs/>
            </w:rPr>
            <w:t>Contact:</w:t>
          </w:r>
        </w:p>
      </w:tc>
      <w:tc>
        <w:tcPr>
          <w:tcW w:w="4374" w:type="dxa"/>
          <w:tcBorders>
            <w:top w:val="single" w:sz="8" w:space="0" w:color="auto"/>
            <w:left w:val="nil"/>
            <w:bottom w:val="nil"/>
            <w:right w:val="nil"/>
          </w:tcBorders>
        </w:tcPr>
        <w:p w14:paraId="68E3500F" w14:textId="366A68C4" w:rsidR="002A0111" w:rsidRPr="002A0111" w:rsidRDefault="002A0111" w:rsidP="0092727B">
          <w:pPr>
            <w:pStyle w:val="Footer"/>
            <w:tabs>
              <w:tab w:val="clear" w:pos="4320"/>
              <w:tab w:val="clear" w:pos="8640"/>
            </w:tabs>
          </w:pPr>
        </w:p>
      </w:tc>
      <w:tc>
        <w:tcPr>
          <w:tcW w:w="3690" w:type="dxa"/>
          <w:tcBorders>
            <w:top w:val="single" w:sz="8" w:space="0" w:color="auto"/>
            <w:left w:val="nil"/>
            <w:bottom w:val="nil"/>
          </w:tcBorders>
        </w:tcPr>
        <w:p w14:paraId="73834E9A" w14:textId="2B420AA2" w:rsidR="0092727B" w:rsidRPr="006F07D4" w:rsidRDefault="0092727B" w:rsidP="0092727B">
          <w:pPr>
            <w:pStyle w:val="Footer"/>
            <w:tabs>
              <w:tab w:val="clear" w:pos="4320"/>
              <w:tab w:val="clear" w:pos="8640"/>
            </w:tabs>
            <w:rPr>
              <w:lang w:val="it-IT"/>
            </w:rPr>
          </w:pPr>
          <w:r w:rsidRPr="003D7E1E">
            <w:rPr>
              <w:b/>
              <w:bCs/>
              <w:lang w:val="it-IT"/>
            </w:rPr>
            <w:t>E-mail:</w:t>
          </w:r>
          <w:r w:rsidR="00BF4446" w:rsidRPr="006F07D4">
            <w:rPr>
              <w:lang w:val="it-IT"/>
            </w:rPr>
            <w:t xml:space="preserve"> </w:t>
          </w:r>
        </w:p>
      </w:tc>
    </w:tr>
  </w:tbl>
  <w:p w14:paraId="227B9787" w14:textId="77777777" w:rsidR="0097693B" w:rsidRPr="006F07D4" w:rsidRDefault="0097693B" w:rsidP="0092727B">
    <w:pPr>
      <w:pStyle w:val="Footer"/>
      <w:tabs>
        <w:tab w:val="clear" w:pos="4320"/>
        <w:tab w:val="clear" w:pos="8640"/>
      </w:tabs>
      <w:rPr>
        <w:sz w:val="16"/>
        <w:szCs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30113" w14:textId="77777777" w:rsidR="00800B8A" w:rsidRDefault="00800B8A">
      <w:r>
        <w:separator/>
      </w:r>
    </w:p>
  </w:footnote>
  <w:footnote w:type="continuationSeparator" w:id="0">
    <w:p w14:paraId="2CBF5421" w14:textId="77777777" w:rsidR="00800B8A" w:rsidRDefault="00800B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983A" w14:textId="77777777" w:rsidR="0097693B" w:rsidRDefault="0097693B" w:rsidP="0092727B">
    <w:pPr>
      <w:pStyle w:val="Header"/>
      <w:tabs>
        <w:tab w:val="clear" w:pos="4320"/>
        <w:tab w:val="clear" w:pos="8640"/>
      </w:tabs>
      <w:rPr>
        <w:lang w:eastAsia="ko-KR"/>
      </w:rPr>
    </w:pPr>
  </w:p>
  <w:p w14:paraId="2912C8C1"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7BDF4"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355626A"/>
    <w:multiLevelType w:val="hybridMultilevel"/>
    <w:tmpl w:val="758A9BD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4"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370862"/>
    <w:multiLevelType w:val="hybridMultilevel"/>
    <w:tmpl w:val="33FCBC70"/>
    <w:lvl w:ilvl="0" w:tplc="81F65682">
      <w:start w:val="1"/>
      <w:numFmt w:val="bullet"/>
      <w:lvlText w:val=""/>
      <w:lvlJc w:val="left"/>
      <w:pPr>
        <w:ind w:left="720" w:hanging="360"/>
      </w:pPr>
      <w:rPr>
        <w:rFonts w:ascii="Symbol" w:hAnsi="Symbol" w:hint="default"/>
      </w:rPr>
    </w:lvl>
    <w:lvl w:ilvl="1" w:tplc="3356F6B8">
      <w:start w:val="1"/>
      <w:numFmt w:val="decimal"/>
      <w:lvlText w:val="%2."/>
      <w:lvlJc w:val="left"/>
      <w:pPr>
        <w:ind w:left="1440" w:hanging="360"/>
      </w:pPr>
      <w:rPr>
        <w:rFonts w:hint="default"/>
        <w:b w:val="0"/>
        <w:bCs w:val="0"/>
      </w:rPr>
    </w:lvl>
    <w:lvl w:ilvl="2" w:tplc="38090001">
      <w:start w:val="1"/>
      <w:numFmt w:val="bullet"/>
      <w:lvlText w:val=""/>
      <w:lvlJc w:val="left"/>
      <w:pPr>
        <w:ind w:left="2160" w:hanging="360"/>
      </w:pPr>
      <w:rPr>
        <w:rFonts w:ascii="Symbol" w:hAnsi="Symbol" w:hint="default"/>
      </w:rPr>
    </w:lvl>
    <w:lvl w:ilvl="3" w:tplc="3809000F">
      <w:start w:val="1"/>
      <w:numFmt w:val="decimal"/>
      <w:lvlText w:val="%4."/>
      <w:lvlJc w:val="lef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318509ED"/>
    <w:multiLevelType w:val="hybridMultilevel"/>
    <w:tmpl w:val="EE9C99D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BBE1A4D"/>
    <w:multiLevelType w:val="hybridMultilevel"/>
    <w:tmpl w:val="E8E6722C"/>
    <w:lvl w:ilvl="0" w:tplc="A114EBFA">
      <w:start w:val="1"/>
      <w:numFmt w:val="bullet"/>
      <w:lvlText w:val="-"/>
      <w:lvlJc w:val="left"/>
      <w:pPr>
        <w:ind w:left="280" w:hanging="360"/>
      </w:pPr>
      <w:rPr>
        <w:rFonts w:ascii="Malgun Gothic" w:eastAsia="Malgun Gothic" w:hAnsi="Malgun Gothic" w:cstheme="minorBidi" w:hint="eastAsia"/>
      </w:rPr>
    </w:lvl>
    <w:lvl w:ilvl="1" w:tplc="04090003">
      <w:start w:val="1"/>
      <w:numFmt w:val="bullet"/>
      <w:lvlText w:val=""/>
      <w:lvlJc w:val="left"/>
      <w:pPr>
        <w:ind w:left="720" w:hanging="400"/>
      </w:pPr>
      <w:rPr>
        <w:rFonts w:ascii="Wingdings" w:hAnsi="Wingdings"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5"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2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7C62D51"/>
    <w:multiLevelType w:val="multilevel"/>
    <w:tmpl w:val="8536F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437859"/>
    <w:multiLevelType w:val="hybridMultilevel"/>
    <w:tmpl w:val="9092D4E4"/>
    <w:lvl w:ilvl="0" w:tplc="38090017">
      <w:start w:val="1"/>
      <w:numFmt w:val="lowerLetter"/>
      <w:lvlText w:val="%1)"/>
      <w:lvlJc w:val="left"/>
      <w:pPr>
        <w:ind w:left="1713" w:hanging="360"/>
      </w:pPr>
    </w:lvl>
    <w:lvl w:ilvl="1" w:tplc="38090019" w:tentative="1">
      <w:start w:val="1"/>
      <w:numFmt w:val="lowerLetter"/>
      <w:lvlText w:val="%2."/>
      <w:lvlJc w:val="left"/>
      <w:pPr>
        <w:ind w:left="2433" w:hanging="360"/>
      </w:pPr>
    </w:lvl>
    <w:lvl w:ilvl="2" w:tplc="3809001B" w:tentative="1">
      <w:start w:val="1"/>
      <w:numFmt w:val="lowerRoman"/>
      <w:lvlText w:val="%3."/>
      <w:lvlJc w:val="right"/>
      <w:pPr>
        <w:ind w:left="3153" w:hanging="180"/>
      </w:pPr>
    </w:lvl>
    <w:lvl w:ilvl="3" w:tplc="3809000F" w:tentative="1">
      <w:start w:val="1"/>
      <w:numFmt w:val="decimal"/>
      <w:lvlText w:val="%4."/>
      <w:lvlJc w:val="left"/>
      <w:pPr>
        <w:ind w:left="3873" w:hanging="360"/>
      </w:pPr>
    </w:lvl>
    <w:lvl w:ilvl="4" w:tplc="38090019" w:tentative="1">
      <w:start w:val="1"/>
      <w:numFmt w:val="lowerLetter"/>
      <w:lvlText w:val="%5."/>
      <w:lvlJc w:val="left"/>
      <w:pPr>
        <w:ind w:left="4593" w:hanging="360"/>
      </w:pPr>
    </w:lvl>
    <w:lvl w:ilvl="5" w:tplc="3809001B" w:tentative="1">
      <w:start w:val="1"/>
      <w:numFmt w:val="lowerRoman"/>
      <w:lvlText w:val="%6."/>
      <w:lvlJc w:val="right"/>
      <w:pPr>
        <w:ind w:left="5313" w:hanging="180"/>
      </w:pPr>
    </w:lvl>
    <w:lvl w:ilvl="6" w:tplc="3809000F" w:tentative="1">
      <w:start w:val="1"/>
      <w:numFmt w:val="decimal"/>
      <w:lvlText w:val="%7."/>
      <w:lvlJc w:val="left"/>
      <w:pPr>
        <w:ind w:left="6033" w:hanging="360"/>
      </w:pPr>
    </w:lvl>
    <w:lvl w:ilvl="7" w:tplc="38090019" w:tentative="1">
      <w:start w:val="1"/>
      <w:numFmt w:val="lowerLetter"/>
      <w:lvlText w:val="%8."/>
      <w:lvlJc w:val="left"/>
      <w:pPr>
        <w:ind w:left="6753" w:hanging="360"/>
      </w:pPr>
    </w:lvl>
    <w:lvl w:ilvl="8" w:tplc="3809001B" w:tentative="1">
      <w:start w:val="1"/>
      <w:numFmt w:val="lowerRoman"/>
      <w:lvlText w:val="%9."/>
      <w:lvlJc w:val="right"/>
      <w:pPr>
        <w:ind w:left="7473" w:hanging="180"/>
      </w:pPr>
    </w:lvl>
  </w:abstractNum>
  <w:abstractNum w:abstractNumId="23"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24"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15:restartNumberingAfterBreak="0">
    <w:nsid w:val="7BF36463"/>
    <w:multiLevelType w:val="hybridMultilevel"/>
    <w:tmpl w:val="F2483E76"/>
    <w:lvl w:ilvl="0" w:tplc="38090001">
      <w:start w:val="1"/>
      <w:numFmt w:val="bullet"/>
      <w:lvlText w:val=""/>
      <w:lvlJc w:val="left"/>
      <w:pPr>
        <w:ind w:left="1429" w:hanging="360"/>
      </w:pPr>
      <w:rPr>
        <w:rFonts w:ascii="Symbol" w:hAnsi="Symbol" w:hint="default"/>
      </w:rPr>
    </w:lvl>
    <w:lvl w:ilvl="1" w:tplc="38090003" w:tentative="1">
      <w:start w:val="1"/>
      <w:numFmt w:val="bullet"/>
      <w:lvlText w:val="o"/>
      <w:lvlJc w:val="left"/>
      <w:pPr>
        <w:ind w:left="2149" w:hanging="360"/>
      </w:pPr>
      <w:rPr>
        <w:rFonts w:ascii="Courier New" w:hAnsi="Courier New" w:cs="Courier New" w:hint="default"/>
      </w:rPr>
    </w:lvl>
    <w:lvl w:ilvl="2" w:tplc="38090005" w:tentative="1">
      <w:start w:val="1"/>
      <w:numFmt w:val="bullet"/>
      <w:lvlText w:val=""/>
      <w:lvlJc w:val="left"/>
      <w:pPr>
        <w:ind w:left="2869" w:hanging="360"/>
      </w:pPr>
      <w:rPr>
        <w:rFonts w:ascii="Wingdings" w:hAnsi="Wingdings" w:hint="default"/>
      </w:rPr>
    </w:lvl>
    <w:lvl w:ilvl="3" w:tplc="38090001" w:tentative="1">
      <w:start w:val="1"/>
      <w:numFmt w:val="bullet"/>
      <w:lvlText w:val=""/>
      <w:lvlJc w:val="left"/>
      <w:pPr>
        <w:ind w:left="3589" w:hanging="360"/>
      </w:pPr>
      <w:rPr>
        <w:rFonts w:ascii="Symbol" w:hAnsi="Symbol" w:hint="default"/>
      </w:rPr>
    </w:lvl>
    <w:lvl w:ilvl="4" w:tplc="38090003" w:tentative="1">
      <w:start w:val="1"/>
      <w:numFmt w:val="bullet"/>
      <w:lvlText w:val="o"/>
      <w:lvlJc w:val="left"/>
      <w:pPr>
        <w:ind w:left="4309" w:hanging="360"/>
      </w:pPr>
      <w:rPr>
        <w:rFonts w:ascii="Courier New" w:hAnsi="Courier New" w:cs="Courier New" w:hint="default"/>
      </w:rPr>
    </w:lvl>
    <w:lvl w:ilvl="5" w:tplc="38090005" w:tentative="1">
      <w:start w:val="1"/>
      <w:numFmt w:val="bullet"/>
      <w:lvlText w:val=""/>
      <w:lvlJc w:val="left"/>
      <w:pPr>
        <w:ind w:left="5029" w:hanging="360"/>
      </w:pPr>
      <w:rPr>
        <w:rFonts w:ascii="Wingdings" w:hAnsi="Wingdings" w:hint="default"/>
      </w:rPr>
    </w:lvl>
    <w:lvl w:ilvl="6" w:tplc="38090001" w:tentative="1">
      <w:start w:val="1"/>
      <w:numFmt w:val="bullet"/>
      <w:lvlText w:val=""/>
      <w:lvlJc w:val="left"/>
      <w:pPr>
        <w:ind w:left="5749" w:hanging="360"/>
      </w:pPr>
      <w:rPr>
        <w:rFonts w:ascii="Symbol" w:hAnsi="Symbol" w:hint="default"/>
      </w:rPr>
    </w:lvl>
    <w:lvl w:ilvl="7" w:tplc="38090003" w:tentative="1">
      <w:start w:val="1"/>
      <w:numFmt w:val="bullet"/>
      <w:lvlText w:val="o"/>
      <w:lvlJc w:val="left"/>
      <w:pPr>
        <w:ind w:left="6469" w:hanging="360"/>
      </w:pPr>
      <w:rPr>
        <w:rFonts w:ascii="Courier New" w:hAnsi="Courier New" w:cs="Courier New" w:hint="default"/>
      </w:rPr>
    </w:lvl>
    <w:lvl w:ilvl="8" w:tplc="38090005" w:tentative="1">
      <w:start w:val="1"/>
      <w:numFmt w:val="bullet"/>
      <w:lvlText w:val=""/>
      <w:lvlJc w:val="left"/>
      <w:pPr>
        <w:ind w:left="7189" w:hanging="360"/>
      </w:pPr>
      <w:rPr>
        <w:rFonts w:ascii="Wingdings" w:hAnsi="Wingdings" w:hint="default"/>
      </w:rPr>
    </w:lvl>
  </w:abstractNum>
  <w:abstractNum w:abstractNumId="26"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16cid:durableId="737702518">
    <w:abstractNumId w:val="12"/>
  </w:num>
  <w:num w:numId="2" w16cid:durableId="2095587024">
    <w:abstractNumId w:val="6"/>
  </w:num>
  <w:num w:numId="3" w16cid:durableId="959185555">
    <w:abstractNumId w:val="5"/>
  </w:num>
  <w:num w:numId="4" w16cid:durableId="1152941230">
    <w:abstractNumId w:val="18"/>
  </w:num>
  <w:num w:numId="5" w16cid:durableId="2136827145">
    <w:abstractNumId w:val="10"/>
  </w:num>
  <w:num w:numId="6" w16cid:durableId="2091266070">
    <w:abstractNumId w:val="13"/>
  </w:num>
  <w:num w:numId="7" w16cid:durableId="1072774067">
    <w:abstractNumId w:val="3"/>
  </w:num>
  <w:num w:numId="8" w16cid:durableId="1342975633">
    <w:abstractNumId w:val="1"/>
  </w:num>
  <w:num w:numId="9" w16cid:durableId="708188657">
    <w:abstractNumId w:val="23"/>
  </w:num>
  <w:num w:numId="10" w16cid:durableId="1279609352">
    <w:abstractNumId w:val="17"/>
  </w:num>
  <w:num w:numId="11" w16cid:durableId="581641914">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9883559">
    <w:abstractNumId w:val="15"/>
  </w:num>
  <w:num w:numId="13" w16cid:durableId="1722946809">
    <w:abstractNumId w:val="0"/>
  </w:num>
  <w:num w:numId="14" w16cid:durableId="14842727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3394383">
    <w:abstractNumId w:val="7"/>
  </w:num>
  <w:num w:numId="16" w16cid:durableId="1479877890">
    <w:abstractNumId w:val="24"/>
  </w:num>
  <w:num w:numId="17" w16cid:durableId="880479440">
    <w:abstractNumId w:val="16"/>
  </w:num>
  <w:num w:numId="18" w16cid:durableId="632953034">
    <w:abstractNumId w:val="14"/>
  </w:num>
  <w:num w:numId="19" w16cid:durableId="1214192418">
    <w:abstractNumId w:val="20"/>
  </w:num>
  <w:num w:numId="20" w16cid:durableId="1411389044">
    <w:abstractNumId w:val="9"/>
  </w:num>
  <w:num w:numId="21" w16cid:durableId="805779380">
    <w:abstractNumId w:val="19"/>
  </w:num>
  <w:num w:numId="22" w16cid:durableId="211429140">
    <w:abstractNumId w:val="26"/>
  </w:num>
  <w:num w:numId="23" w16cid:durableId="1625651732">
    <w:abstractNumId w:val="8"/>
  </w:num>
  <w:num w:numId="24" w16cid:durableId="2054114984">
    <w:abstractNumId w:val="22"/>
  </w:num>
  <w:num w:numId="25" w16cid:durableId="2124616622">
    <w:abstractNumId w:val="11"/>
  </w:num>
  <w:num w:numId="26" w16cid:durableId="1852530592">
    <w:abstractNumId w:val="2"/>
  </w:num>
  <w:num w:numId="27" w16cid:durableId="293410911">
    <w:abstractNumId w:val="21"/>
  </w:num>
  <w:num w:numId="28" w16cid:durableId="5278378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633"/>
    <w:rsid w:val="00010C8E"/>
    <w:rsid w:val="0003595B"/>
    <w:rsid w:val="00036517"/>
    <w:rsid w:val="00036CC9"/>
    <w:rsid w:val="00040149"/>
    <w:rsid w:val="00055FC7"/>
    <w:rsid w:val="00070642"/>
    <w:rsid w:val="000713CF"/>
    <w:rsid w:val="00075C14"/>
    <w:rsid w:val="000822B5"/>
    <w:rsid w:val="00094B87"/>
    <w:rsid w:val="000A012B"/>
    <w:rsid w:val="000A5418"/>
    <w:rsid w:val="000D47FB"/>
    <w:rsid w:val="000E710F"/>
    <w:rsid w:val="000F345F"/>
    <w:rsid w:val="000F517C"/>
    <w:rsid w:val="000F5540"/>
    <w:rsid w:val="000F5F06"/>
    <w:rsid w:val="00105F1A"/>
    <w:rsid w:val="00125FBD"/>
    <w:rsid w:val="00131B45"/>
    <w:rsid w:val="001339F8"/>
    <w:rsid w:val="001409B2"/>
    <w:rsid w:val="00152636"/>
    <w:rsid w:val="001539DD"/>
    <w:rsid w:val="00156782"/>
    <w:rsid w:val="00157890"/>
    <w:rsid w:val="00161257"/>
    <w:rsid w:val="00165F01"/>
    <w:rsid w:val="001731F4"/>
    <w:rsid w:val="00181B1E"/>
    <w:rsid w:val="00185069"/>
    <w:rsid w:val="0019115C"/>
    <w:rsid w:val="001916F2"/>
    <w:rsid w:val="001930A7"/>
    <w:rsid w:val="00196568"/>
    <w:rsid w:val="00197C18"/>
    <w:rsid w:val="00197CAF"/>
    <w:rsid w:val="001A2F16"/>
    <w:rsid w:val="001B1804"/>
    <w:rsid w:val="001B18C2"/>
    <w:rsid w:val="001C443F"/>
    <w:rsid w:val="001C61A5"/>
    <w:rsid w:val="001C6707"/>
    <w:rsid w:val="001D5D7E"/>
    <w:rsid w:val="001E6D61"/>
    <w:rsid w:val="001F5947"/>
    <w:rsid w:val="00202410"/>
    <w:rsid w:val="00206E13"/>
    <w:rsid w:val="00214A0C"/>
    <w:rsid w:val="0021588B"/>
    <w:rsid w:val="002161B6"/>
    <w:rsid w:val="002216AC"/>
    <w:rsid w:val="00224D40"/>
    <w:rsid w:val="0023212E"/>
    <w:rsid w:val="002475E2"/>
    <w:rsid w:val="002506D2"/>
    <w:rsid w:val="00250DE2"/>
    <w:rsid w:val="00254A1B"/>
    <w:rsid w:val="00254E19"/>
    <w:rsid w:val="0026064A"/>
    <w:rsid w:val="00264566"/>
    <w:rsid w:val="002752C9"/>
    <w:rsid w:val="0027654D"/>
    <w:rsid w:val="002824EB"/>
    <w:rsid w:val="0028454D"/>
    <w:rsid w:val="00291C9E"/>
    <w:rsid w:val="002926D4"/>
    <w:rsid w:val="00296DD6"/>
    <w:rsid w:val="0029734E"/>
    <w:rsid w:val="002A0111"/>
    <w:rsid w:val="002A3CF5"/>
    <w:rsid w:val="002A5F7C"/>
    <w:rsid w:val="002B06A3"/>
    <w:rsid w:val="002B435C"/>
    <w:rsid w:val="002B447F"/>
    <w:rsid w:val="002C07DA"/>
    <w:rsid w:val="002C2A49"/>
    <w:rsid w:val="002C7EA9"/>
    <w:rsid w:val="002F575D"/>
    <w:rsid w:val="003113D7"/>
    <w:rsid w:val="00311E8A"/>
    <w:rsid w:val="00331002"/>
    <w:rsid w:val="0034125C"/>
    <w:rsid w:val="00342F20"/>
    <w:rsid w:val="00346AA4"/>
    <w:rsid w:val="00360377"/>
    <w:rsid w:val="00366548"/>
    <w:rsid w:val="0038005B"/>
    <w:rsid w:val="003809C7"/>
    <w:rsid w:val="0038236C"/>
    <w:rsid w:val="00393DCD"/>
    <w:rsid w:val="0039401B"/>
    <w:rsid w:val="00395B40"/>
    <w:rsid w:val="003A2006"/>
    <w:rsid w:val="003A25AB"/>
    <w:rsid w:val="003A6568"/>
    <w:rsid w:val="003B4FD1"/>
    <w:rsid w:val="003B6263"/>
    <w:rsid w:val="003C29E6"/>
    <w:rsid w:val="003C64A7"/>
    <w:rsid w:val="003D1128"/>
    <w:rsid w:val="003D1671"/>
    <w:rsid w:val="003D3D47"/>
    <w:rsid w:val="003D3FDA"/>
    <w:rsid w:val="003D51DE"/>
    <w:rsid w:val="003D5365"/>
    <w:rsid w:val="003D6D00"/>
    <w:rsid w:val="003D7CBE"/>
    <w:rsid w:val="003D7E1E"/>
    <w:rsid w:val="003E166F"/>
    <w:rsid w:val="003E586D"/>
    <w:rsid w:val="003F0C19"/>
    <w:rsid w:val="003F307E"/>
    <w:rsid w:val="004001E5"/>
    <w:rsid w:val="0041313C"/>
    <w:rsid w:val="00420822"/>
    <w:rsid w:val="00420C74"/>
    <w:rsid w:val="00441526"/>
    <w:rsid w:val="004465AA"/>
    <w:rsid w:val="00446A5E"/>
    <w:rsid w:val="004533C4"/>
    <w:rsid w:val="0045458F"/>
    <w:rsid w:val="004633B4"/>
    <w:rsid w:val="00463ECF"/>
    <w:rsid w:val="004664D5"/>
    <w:rsid w:val="00495CED"/>
    <w:rsid w:val="004A2F96"/>
    <w:rsid w:val="004A4BDF"/>
    <w:rsid w:val="004B3553"/>
    <w:rsid w:val="004B3F4B"/>
    <w:rsid w:val="004D64BB"/>
    <w:rsid w:val="004E1FCA"/>
    <w:rsid w:val="004E47D6"/>
    <w:rsid w:val="004F4F23"/>
    <w:rsid w:val="00503189"/>
    <w:rsid w:val="005165CB"/>
    <w:rsid w:val="00516BD1"/>
    <w:rsid w:val="005206E9"/>
    <w:rsid w:val="00526D01"/>
    <w:rsid w:val="00530E8C"/>
    <w:rsid w:val="00535D34"/>
    <w:rsid w:val="00545933"/>
    <w:rsid w:val="00551169"/>
    <w:rsid w:val="00552105"/>
    <w:rsid w:val="005562F2"/>
    <w:rsid w:val="00557544"/>
    <w:rsid w:val="00565BBB"/>
    <w:rsid w:val="00571B26"/>
    <w:rsid w:val="00585F3C"/>
    <w:rsid w:val="00586CA0"/>
    <w:rsid w:val="00587875"/>
    <w:rsid w:val="005A63EB"/>
    <w:rsid w:val="005A6637"/>
    <w:rsid w:val="005B0876"/>
    <w:rsid w:val="005C33B6"/>
    <w:rsid w:val="005D6202"/>
    <w:rsid w:val="005D6E98"/>
    <w:rsid w:val="00606B7B"/>
    <w:rsid w:val="00607E2B"/>
    <w:rsid w:val="00611000"/>
    <w:rsid w:val="006139D6"/>
    <w:rsid w:val="00616D1B"/>
    <w:rsid w:val="00623CE1"/>
    <w:rsid w:val="00627880"/>
    <w:rsid w:val="0063062B"/>
    <w:rsid w:val="00634A82"/>
    <w:rsid w:val="00637351"/>
    <w:rsid w:val="00646166"/>
    <w:rsid w:val="00652BDD"/>
    <w:rsid w:val="00654896"/>
    <w:rsid w:val="006621F0"/>
    <w:rsid w:val="006647BA"/>
    <w:rsid w:val="00667229"/>
    <w:rsid w:val="0068132E"/>
    <w:rsid w:val="00682BE5"/>
    <w:rsid w:val="00683846"/>
    <w:rsid w:val="00690FED"/>
    <w:rsid w:val="006939A5"/>
    <w:rsid w:val="006A014C"/>
    <w:rsid w:val="006B09DB"/>
    <w:rsid w:val="006C11FC"/>
    <w:rsid w:val="006D5223"/>
    <w:rsid w:val="006D5970"/>
    <w:rsid w:val="006E12FC"/>
    <w:rsid w:val="006F07D4"/>
    <w:rsid w:val="006F0F24"/>
    <w:rsid w:val="006F2B2E"/>
    <w:rsid w:val="006F6A5C"/>
    <w:rsid w:val="00703F6F"/>
    <w:rsid w:val="007052B3"/>
    <w:rsid w:val="00705962"/>
    <w:rsid w:val="00707C21"/>
    <w:rsid w:val="00712451"/>
    <w:rsid w:val="00717DE9"/>
    <w:rsid w:val="0072518B"/>
    <w:rsid w:val="00731041"/>
    <w:rsid w:val="007329E4"/>
    <w:rsid w:val="00732F08"/>
    <w:rsid w:val="007342F0"/>
    <w:rsid w:val="0074190C"/>
    <w:rsid w:val="00744658"/>
    <w:rsid w:val="0075493D"/>
    <w:rsid w:val="00762576"/>
    <w:rsid w:val="007673CA"/>
    <w:rsid w:val="00791060"/>
    <w:rsid w:val="007926EA"/>
    <w:rsid w:val="007B150E"/>
    <w:rsid w:val="007B5626"/>
    <w:rsid w:val="007B6124"/>
    <w:rsid w:val="007D3C53"/>
    <w:rsid w:val="007D6CDC"/>
    <w:rsid w:val="007E3A0F"/>
    <w:rsid w:val="007F0AE6"/>
    <w:rsid w:val="007F2628"/>
    <w:rsid w:val="007F2FBA"/>
    <w:rsid w:val="00800B8A"/>
    <w:rsid w:val="00800C3A"/>
    <w:rsid w:val="0080570B"/>
    <w:rsid w:val="008148E1"/>
    <w:rsid w:val="00822B33"/>
    <w:rsid w:val="008319BF"/>
    <w:rsid w:val="00835E76"/>
    <w:rsid w:val="008415F0"/>
    <w:rsid w:val="008433C2"/>
    <w:rsid w:val="00844457"/>
    <w:rsid w:val="008454C8"/>
    <w:rsid w:val="00846932"/>
    <w:rsid w:val="00851D78"/>
    <w:rsid w:val="00867523"/>
    <w:rsid w:val="0087122A"/>
    <w:rsid w:val="00885D67"/>
    <w:rsid w:val="008A016F"/>
    <w:rsid w:val="008A1A0D"/>
    <w:rsid w:val="008A72E1"/>
    <w:rsid w:val="008A76ED"/>
    <w:rsid w:val="008B3C72"/>
    <w:rsid w:val="008B4D5F"/>
    <w:rsid w:val="008C5FED"/>
    <w:rsid w:val="008D0265"/>
    <w:rsid w:val="008D0E09"/>
    <w:rsid w:val="008F1BD4"/>
    <w:rsid w:val="00903007"/>
    <w:rsid w:val="00923816"/>
    <w:rsid w:val="0092727B"/>
    <w:rsid w:val="0093074B"/>
    <w:rsid w:val="00930E64"/>
    <w:rsid w:val="00943CF9"/>
    <w:rsid w:val="0095356C"/>
    <w:rsid w:val="00956F8C"/>
    <w:rsid w:val="00961D57"/>
    <w:rsid w:val="0097584A"/>
    <w:rsid w:val="00976716"/>
    <w:rsid w:val="0097693B"/>
    <w:rsid w:val="00993355"/>
    <w:rsid w:val="009963F7"/>
    <w:rsid w:val="009A11CB"/>
    <w:rsid w:val="009A4A6D"/>
    <w:rsid w:val="009B44DD"/>
    <w:rsid w:val="009B7E42"/>
    <w:rsid w:val="009C7235"/>
    <w:rsid w:val="009D46CE"/>
    <w:rsid w:val="009D4ADA"/>
    <w:rsid w:val="009E13DD"/>
    <w:rsid w:val="009F547A"/>
    <w:rsid w:val="00A03D78"/>
    <w:rsid w:val="00A0503B"/>
    <w:rsid w:val="00A059CD"/>
    <w:rsid w:val="00A13265"/>
    <w:rsid w:val="00A14900"/>
    <w:rsid w:val="00A2159F"/>
    <w:rsid w:val="00A23C16"/>
    <w:rsid w:val="00A324FF"/>
    <w:rsid w:val="00A37EA3"/>
    <w:rsid w:val="00A529BC"/>
    <w:rsid w:val="00A5346C"/>
    <w:rsid w:val="00A53F51"/>
    <w:rsid w:val="00A562F0"/>
    <w:rsid w:val="00A564FB"/>
    <w:rsid w:val="00A614C1"/>
    <w:rsid w:val="00A61EA6"/>
    <w:rsid w:val="00A63294"/>
    <w:rsid w:val="00A657BF"/>
    <w:rsid w:val="00A71136"/>
    <w:rsid w:val="00A92578"/>
    <w:rsid w:val="00AA474C"/>
    <w:rsid w:val="00AB57E2"/>
    <w:rsid w:val="00AC35EF"/>
    <w:rsid w:val="00AC4D5B"/>
    <w:rsid w:val="00AC7365"/>
    <w:rsid w:val="00AD1DDB"/>
    <w:rsid w:val="00AD2697"/>
    <w:rsid w:val="00AD7E5F"/>
    <w:rsid w:val="00AE3066"/>
    <w:rsid w:val="00AE4EB7"/>
    <w:rsid w:val="00AE70E7"/>
    <w:rsid w:val="00AF68E4"/>
    <w:rsid w:val="00AF6ECA"/>
    <w:rsid w:val="00B00A87"/>
    <w:rsid w:val="00B01AA1"/>
    <w:rsid w:val="00B06025"/>
    <w:rsid w:val="00B30C81"/>
    <w:rsid w:val="00B30DA1"/>
    <w:rsid w:val="00B368D7"/>
    <w:rsid w:val="00B4793B"/>
    <w:rsid w:val="00B56099"/>
    <w:rsid w:val="00B64A60"/>
    <w:rsid w:val="00B661AC"/>
    <w:rsid w:val="00B8468D"/>
    <w:rsid w:val="00B937D7"/>
    <w:rsid w:val="00B96B67"/>
    <w:rsid w:val="00BB0EA4"/>
    <w:rsid w:val="00BB67B6"/>
    <w:rsid w:val="00BC57EF"/>
    <w:rsid w:val="00BC69DB"/>
    <w:rsid w:val="00BE031A"/>
    <w:rsid w:val="00BE6B6B"/>
    <w:rsid w:val="00BF25F9"/>
    <w:rsid w:val="00BF4446"/>
    <w:rsid w:val="00C00B04"/>
    <w:rsid w:val="00C06B9A"/>
    <w:rsid w:val="00C1147F"/>
    <w:rsid w:val="00C13FD5"/>
    <w:rsid w:val="00C15633"/>
    <w:rsid w:val="00C15799"/>
    <w:rsid w:val="00C32E84"/>
    <w:rsid w:val="00C35415"/>
    <w:rsid w:val="00C357AD"/>
    <w:rsid w:val="00C516C7"/>
    <w:rsid w:val="00C51C5F"/>
    <w:rsid w:val="00C554CC"/>
    <w:rsid w:val="00C6069C"/>
    <w:rsid w:val="00C70477"/>
    <w:rsid w:val="00C72AD4"/>
    <w:rsid w:val="00C74745"/>
    <w:rsid w:val="00C85119"/>
    <w:rsid w:val="00C95C48"/>
    <w:rsid w:val="00CA41E7"/>
    <w:rsid w:val="00CA420A"/>
    <w:rsid w:val="00CD170C"/>
    <w:rsid w:val="00CD320B"/>
    <w:rsid w:val="00CD3F37"/>
    <w:rsid w:val="00CD5431"/>
    <w:rsid w:val="00CD78FD"/>
    <w:rsid w:val="00CE4B93"/>
    <w:rsid w:val="00CF2491"/>
    <w:rsid w:val="00CF3963"/>
    <w:rsid w:val="00D1252E"/>
    <w:rsid w:val="00D13D9D"/>
    <w:rsid w:val="00D14AFE"/>
    <w:rsid w:val="00D20C13"/>
    <w:rsid w:val="00D2190A"/>
    <w:rsid w:val="00D22598"/>
    <w:rsid w:val="00D416A3"/>
    <w:rsid w:val="00D459A2"/>
    <w:rsid w:val="00D510D6"/>
    <w:rsid w:val="00D530FF"/>
    <w:rsid w:val="00D53688"/>
    <w:rsid w:val="00D5407A"/>
    <w:rsid w:val="00D57772"/>
    <w:rsid w:val="00D72AE3"/>
    <w:rsid w:val="00D75A4D"/>
    <w:rsid w:val="00D8478B"/>
    <w:rsid w:val="00D86151"/>
    <w:rsid w:val="00D9172D"/>
    <w:rsid w:val="00D94862"/>
    <w:rsid w:val="00D97E84"/>
    <w:rsid w:val="00DA5641"/>
    <w:rsid w:val="00DA7595"/>
    <w:rsid w:val="00DA78FF"/>
    <w:rsid w:val="00DB0A68"/>
    <w:rsid w:val="00DC37FC"/>
    <w:rsid w:val="00DC43A3"/>
    <w:rsid w:val="00DC4CF3"/>
    <w:rsid w:val="00DC5C01"/>
    <w:rsid w:val="00DD7C09"/>
    <w:rsid w:val="00DF0EB4"/>
    <w:rsid w:val="00DF111E"/>
    <w:rsid w:val="00DF49AB"/>
    <w:rsid w:val="00E0124F"/>
    <w:rsid w:val="00E5762A"/>
    <w:rsid w:val="00E62F3D"/>
    <w:rsid w:val="00E64A49"/>
    <w:rsid w:val="00E674D3"/>
    <w:rsid w:val="00E70FD0"/>
    <w:rsid w:val="00E72B2C"/>
    <w:rsid w:val="00E7309D"/>
    <w:rsid w:val="00E77C4B"/>
    <w:rsid w:val="00E81CA9"/>
    <w:rsid w:val="00E9301F"/>
    <w:rsid w:val="00E9690A"/>
    <w:rsid w:val="00E97DC7"/>
    <w:rsid w:val="00EC3ED4"/>
    <w:rsid w:val="00ED2DD5"/>
    <w:rsid w:val="00F000EF"/>
    <w:rsid w:val="00F00939"/>
    <w:rsid w:val="00F21CF1"/>
    <w:rsid w:val="00F2504E"/>
    <w:rsid w:val="00F25854"/>
    <w:rsid w:val="00F2585B"/>
    <w:rsid w:val="00F4053F"/>
    <w:rsid w:val="00F516E7"/>
    <w:rsid w:val="00F52D47"/>
    <w:rsid w:val="00F57BF7"/>
    <w:rsid w:val="00F6263E"/>
    <w:rsid w:val="00F627C2"/>
    <w:rsid w:val="00F736FD"/>
    <w:rsid w:val="00F84067"/>
    <w:rsid w:val="00FA50B4"/>
    <w:rsid w:val="00FB6E83"/>
    <w:rsid w:val="00FC156A"/>
    <w:rsid w:val="00FC5C91"/>
    <w:rsid w:val="00FD6235"/>
    <w:rsid w:val="00FE13D1"/>
    <w:rsid w:val="00FE3DE5"/>
    <w:rsid w:val="00FE467A"/>
    <w:rsid w:val="00FF56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1B837B"/>
  <w15:docId w15:val="{CE09C02D-4F7B-4CD4-A4AB-C2CBF04E8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aliases w:val="ECC Hyperlink,CEO_Hyperlink,超级链接"/>
    <w:basedOn w:val="DefaultParagraphFont"/>
    <w:uiPriority w:val="99"/>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1B26"/>
    <w:rPr>
      <w:color w:val="605E5C"/>
      <w:shd w:val="clear" w:color="auto" w:fill="E1DFDD"/>
    </w:rPr>
  </w:style>
  <w:style w:type="paragraph" w:styleId="Revision">
    <w:name w:val="Revision"/>
    <w:hidden/>
    <w:uiPriority w:val="99"/>
    <w:semiHidden/>
    <w:rsid w:val="003E586D"/>
    <w:rPr>
      <w:rFonts w:eastAsia="BatangChe"/>
      <w:sz w:val="24"/>
      <w:szCs w:val="24"/>
    </w:rPr>
  </w:style>
  <w:style w:type="character" w:customStyle="1" w:styleId="ListParagraphChar">
    <w:name w:val="List Paragraph Char"/>
    <w:basedOn w:val="DefaultParagraphFont"/>
    <w:link w:val="ListParagraph"/>
    <w:uiPriority w:val="34"/>
    <w:locked/>
    <w:rsid w:val="00463ECF"/>
    <w:rPr>
      <w:rFonts w:eastAsia="BatangChe"/>
      <w:sz w:val="24"/>
      <w:szCs w:val="24"/>
    </w:rPr>
  </w:style>
  <w:style w:type="character" w:styleId="FollowedHyperlink">
    <w:name w:val="FollowedHyperlink"/>
    <w:basedOn w:val="DefaultParagraphFont"/>
    <w:semiHidden/>
    <w:unhideWhenUsed/>
    <w:rsid w:val="00C1147F"/>
    <w:rPr>
      <w:color w:val="800080" w:themeColor="followedHyperlink"/>
      <w:u w:val="single"/>
    </w:rPr>
  </w:style>
  <w:style w:type="paragraph" w:styleId="NormalWeb">
    <w:name w:val="Normal (Web)"/>
    <w:basedOn w:val="Normal"/>
    <w:uiPriority w:val="99"/>
    <w:semiHidden/>
    <w:unhideWhenUsed/>
    <w:rsid w:val="0039401B"/>
    <w:pPr>
      <w:spacing w:before="100" w:beforeAutospacing="1" w:after="100" w:afterAutospacing="1"/>
    </w:pPr>
    <w:rPr>
      <w:rFonts w:eastAsia="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86104">
      <w:bodyDiv w:val="1"/>
      <w:marLeft w:val="0"/>
      <w:marRight w:val="0"/>
      <w:marTop w:val="0"/>
      <w:marBottom w:val="0"/>
      <w:divBdr>
        <w:top w:val="none" w:sz="0" w:space="0" w:color="auto"/>
        <w:left w:val="none" w:sz="0" w:space="0" w:color="auto"/>
        <w:bottom w:val="none" w:sz="0" w:space="0" w:color="auto"/>
        <w:right w:val="none" w:sz="0" w:space="0" w:color="auto"/>
      </w:divBdr>
    </w:div>
    <w:div w:id="280460321">
      <w:bodyDiv w:val="1"/>
      <w:marLeft w:val="0"/>
      <w:marRight w:val="0"/>
      <w:marTop w:val="0"/>
      <w:marBottom w:val="0"/>
      <w:divBdr>
        <w:top w:val="none" w:sz="0" w:space="0" w:color="auto"/>
        <w:left w:val="none" w:sz="0" w:space="0" w:color="auto"/>
        <w:bottom w:val="none" w:sz="0" w:space="0" w:color="auto"/>
        <w:right w:val="none" w:sz="0" w:space="0" w:color="auto"/>
      </w:divBdr>
      <w:divsChild>
        <w:div w:id="1561944008">
          <w:marLeft w:val="0"/>
          <w:marRight w:val="0"/>
          <w:marTop w:val="0"/>
          <w:marBottom w:val="0"/>
          <w:divBdr>
            <w:top w:val="none" w:sz="0" w:space="0" w:color="auto"/>
            <w:left w:val="none" w:sz="0" w:space="0" w:color="auto"/>
            <w:bottom w:val="none" w:sz="0" w:space="0" w:color="auto"/>
            <w:right w:val="none" w:sz="0" w:space="0" w:color="auto"/>
          </w:divBdr>
          <w:divsChild>
            <w:div w:id="1132478020">
              <w:marLeft w:val="0"/>
              <w:marRight w:val="0"/>
              <w:marTop w:val="0"/>
              <w:marBottom w:val="0"/>
              <w:divBdr>
                <w:top w:val="none" w:sz="0" w:space="0" w:color="auto"/>
                <w:left w:val="none" w:sz="0" w:space="0" w:color="auto"/>
                <w:bottom w:val="none" w:sz="0" w:space="0" w:color="auto"/>
                <w:right w:val="none" w:sz="0" w:space="0" w:color="auto"/>
              </w:divBdr>
              <w:divsChild>
                <w:div w:id="175072655">
                  <w:marLeft w:val="0"/>
                  <w:marRight w:val="0"/>
                  <w:marTop w:val="0"/>
                  <w:marBottom w:val="0"/>
                  <w:divBdr>
                    <w:top w:val="none" w:sz="0" w:space="0" w:color="auto"/>
                    <w:left w:val="none" w:sz="0" w:space="0" w:color="auto"/>
                    <w:bottom w:val="none" w:sz="0" w:space="0" w:color="auto"/>
                    <w:right w:val="none" w:sz="0" w:space="0" w:color="auto"/>
                  </w:divBdr>
                  <w:divsChild>
                    <w:div w:id="14465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898009">
      <w:bodyDiv w:val="1"/>
      <w:marLeft w:val="0"/>
      <w:marRight w:val="0"/>
      <w:marTop w:val="0"/>
      <w:marBottom w:val="0"/>
      <w:divBdr>
        <w:top w:val="none" w:sz="0" w:space="0" w:color="auto"/>
        <w:left w:val="none" w:sz="0" w:space="0" w:color="auto"/>
        <w:bottom w:val="none" w:sz="0" w:space="0" w:color="auto"/>
        <w:right w:val="none" w:sz="0" w:space="0" w:color="auto"/>
      </w:divBdr>
    </w:div>
    <w:div w:id="987975449">
      <w:bodyDiv w:val="1"/>
      <w:marLeft w:val="0"/>
      <w:marRight w:val="0"/>
      <w:marTop w:val="0"/>
      <w:marBottom w:val="0"/>
      <w:divBdr>
        <w:top w:val="none" w:sz="0" w:space="0" w:color="auto"/>
        <w:left w:val="none" w:sz="0" w:space="0" w:color="auto"/>
        <w:bottom w:val="none" w:sz="0" w:space="0" w:color="auto"/>
        <w:right w:val="none" w:sz="0" w:space="0" w:color="auto"/>
      </w:divBdr>
    </w:div>
    <w:div w:id="1269046019">
      <w:bodyDiv w:val="1"/>
      <w:marLeft w:val="0"/>
      <w:marRight w:val="0"/>
      <w:marTop w:val="0"/>
      <w:marBottom w:val="0"/>
      <w:divBdr>
        <w:top w:val="none" w:sz="0" w:space="0" w:color="auto"/>
        <w:left w:val="none" w:sz="0" w:space="0" w:color="auto"/>
        <w:bottom w:val="none" w:sz="0" w:space="0" w:color="auto"/>
        <w:right w:val="none" w:sz="0" w:space="0" w:color="auto"/>
      </w:divBdr>
      <w:divsChild>
        <w:div w:id="1801846863">
          <w:marLeft w:val="0"/>
          <w:marRight w:val="0"/>
          <w:marTop w:val="0"/>
          <w:marBottom w:val="0"/>
          <w:divBdr>
            <w:top w:val="none" w:sz="0" w:space="0" w:color="auto"/>
            <w:left w:val="none" w:sz="0" w:space="0" w:color="auto"/>
            <w:bottom w:val="none" w:sz="0" w:space="0" w:color="auto"/>
            <w:right w:val="none" w:sz="0" w:space="0" w:color="auto"/>
          </w:divBdr>
          <w:divsChild>
            <w:div w:id="1675261636">
              <w:marLeft w:val="0"/>
              <w:marRight w:val="0"/>
              <w:marTop w:val="0"/>
              <w:marBottom w:val="0"/>
              <w:divBdr>
                <w:top w:val="none" w:sz="0" w:space="0" w:color="auto"/>
                <w:left w:val="none" w:sz="0" w:space="0" w:color="auto"/>
                <w:bottom w:val="none" w:sz="0" w:space="0" w:color="auto"/>
                <w:right w:val="none" w:sz="0" w:space="0" w:color="auto"/>
              </w:divBdr>
              <w:divsChild>
                <w:div w:id="673000090">
                  <w:marLeft w:val="0"/>
                  <w:marRight w:val="0"/>
                  <w:marTop w:val="0"/>
                  <w:marBottom w:val="0"/>
                  <w:divBdr>
                    <w:top w:val="none" w:sz="0" w:space="0" w:color="auto"/>
                    <w:left w:val="none" w:sz="0" w:space="0" w:color="auto"/>
                    <w:bottom w:val="none" w:sz="0" w:space="0" w:color="auto"/>
                    <w:right w:val="none" w:sz="0" w:space="0" w:color="auto"/>
                  </w:divBdr>
                  <w:divsChild>
                    <w:div w:id="838689173">
                      <w:marLeft w:val="0"/>
                      <w:marRight w:val="0"/>
                      <w:marTop w:val="0"/>
                      <w:marBottom w:val="0"/>
                      <w:divBdr>
                        <w:top w:val="none" w:sz="0" w:space="0" w:color="auto"/>
                        <w:left w:val="none" w:sz="0" w:space="0" w:color="auto"/>
                        <w:bottom w:val="none" w:sz="0" w:space="0" w:color="auto"/>
                        <w:right w:val="none" w:sz="0" w:space="0" w:color="auto"/>
                      </w:divBdr>
                    </w:div>
                    <w:div w:id="10264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5646">
      <w:bodyDiv w:val="1"/>
      <w:marLeft w:val="0"/>
      <w:marRight w:val="0"/>
      <w:marTop w:val="0"/>
      <w:marBottom w:val="0"/>
      <w:divBdr>
        <w:top w:val="none" w:sz="0" w:space="0" w:color="auto"/>
        <w:left w:val="none" w:sz="0" w:space="0" w:color="auto"/>
        <w:bottom w:val="none" w:sz="0" w:space="0" w:color="auto"/>
        <w:right w:val="none" w:sz="0" w:space="0" w:color="auto"/>
      </w:divBdr>
    </w:div>
    <w:div w:id="2121954009">
      <w:bodyDiv w:val="1"/>
      <w:marLeft w:val="0"/>
      <w:marRight w:val="0"/>
      <w:marTop w:val="0"/>
      <w:marBottom w:val="0"/>
      <w:divBdr>
        <w:top w:val="none" w:sz="0" w:space="0" w:color="auto"/>
        <w:left w:val="none" w:sz="0" w:space="0" w:color="auto"/>
        <w:bottom w:val="none" w:sz="0" w:space="0" w:color="auto"/>
        <w:right w:val="none" w:sz="0" w:space="0" w:color="auto"/>
      </w:divBdr>
      <w:divsChild>
        <w:div w:id="526603013">
          <w:marLeft w:val="0"/>
          <w:marRight w:val="0"/>
          <w:marTop w:val="0"/>
          <w:marBottom w:val="0"/>
          <w:divBdr>
            <w:top w:val="none" w:sz="0" w:space="0" w:color="auto"/>
            <w:left w:val="none" w:sz="0" w:space="0" w:color="auto"/>
            <w:bottom w:val="none" w:sz="0" w:space="0" w:color="auto"/>
            <w:right w:val="none" w:sz="0" w:space="0" w:color="auto"/>
          </w:divBdr>
          <w:divsChild>
            <w:div w:id="786192468">
              <w:marLeft w:val="0"/>
              <w:marRight w:val="0"/>
              <w:marTop w:val="0"/>
              <w:marBottom w:val="0"/>
              <w:divBdr>
                <w:top w:val="none" w:sz="0" w:space="0" w:color="auto"/>
                <w:left w:val="none" w:sz="0" w:space="0" w:color="auto"/>
                <w:bottom w:val="none" w:sz="0" w:space="0" w:color="auto"/>
                <w:right w:val="none" w:sz="0" w:space="0" w:color="auto"/>
              </w:divBdr>
              <w:divsChild>
                <w:div w:id="1390037602">
                  <w:marLeft w:val="0"/>
                  <w:marRight w:val="0"/>
                  <w:marTop w:val="0"/>
                  <w:marBottom w:val="0"/>
                  <w:divBdr>
                    <w:top w:val="none" w:sz="0" w:space="0" w:color="auto"/>
                    <w:left w:val="none" w:sz="0" w:space="0" w:color="auto"/>
                    <w:bottom w:val="none" w:sz="0" w:space="0" w:color="auto"/>
                    <w:right w:val="none" w:sz="0" w:space="0" w:color="auto"/>
                  </w:divBdr>
                  <w:divsChild>
                    <w:div w:id="12281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pt.int/sites/default/files/2022/08/APG23-4-INP-43_China_WP4_Preliminary_Views_on_WRC-23_Agenda_Items_1.15_1.16_1.17_1.18_1.19_and_7.docx" TargetMode="External"/><Relationship Id="rId18" Type="http://schemas.openxmlformats.org/officeDocument/2006/relationships/hyperlink" Target="https://www.apt.int/sites/default/files/2022/08/APG23-4-INF-28Rev.1_CITEL_Preparation_for_WRC-23.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apt.int/sites/default/files/2022/08/APG23-4-INF-48_Status_of_CEPT_preparation_for_WRC-23_and_RA-23.pdf" TargetMode="External"/><Relationship Id="rId7" Type="http://schemas.openxmlformats.org/officeDocument/2006/relationships/endnotes" Target="endnotes.xml"/><Relationship Id="rId12" Type="http://schemas.openxmlformats.org/officeDocument/2006/relationships/hyperlink" Target="https://www.apt.int/sites/default/files/2022/08/APG23-4-INP-26_IRN_WP4_Preliminary_Views_on_WRC-23_Agenda_Items_1.15_1.16_1.17_1.18_and_1.19.docx" TargetMode="External"/><Relationship Id="rId17" Type="http://schemas.openxmlformats.org/officeDocument/2006/relationships/hyperlink" Target="https://www.apt.int/sites/default/files/2022/08/APG23-4-INF-21_ASMG_Preparation_for_WRC-23.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pt.int/sites/default/files/2022/07/APG23-4-INF-02_ATU_preparation.docx" TargetMode="External"/><Relationship Id="rId20" Type="http://schemas.openxmlformats.org/officeDocument/2006/relationships/hyperlink" Target="https://www.apt.int/sites/default/files/2022/08/APG23-4-INF-44_Status_of_RCC_preparation_to_the_World_Radio_Conference_and_Radio_Assembly_202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pt.int/sites/default/files/2022/08/APG23-4-INP-22_BGD_WP4_Preliminary_Views_on_WRC-23_Agenda_Items_1.15_1.16_and_1.19.docx"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pt.int/sites/default/files/2022/08/APG23-4-INP-77_VTN_WP4_Preliminary_Views_on_WRC-23_Agenda_Items_1.15_1.16_1.18_and_1.19.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apt.int/sites/default/files/2022/08/APG23-4-INP-17_AUS_WP4_Preliminary_Views_on_WRC-23_Agenda_Items_1.15_1.16_1.17_1.18_1.19_and_7.docx" TargetMode="External"/><Relationship Id="rId19" Type="http://schemas.openxmlformats.org/officeDocument/2006/relationships/hyperlink" Target="https://www.apt.int/sites/default/files/2022/08/APG23-4-INF-38Rev.1_Brief_on_AI1.19.docx" TargetMode="External"/><Relationship Id="rId4" Type="http://schemas.openxmlformats.org/officeDocument/2006/relationships/settings" Target="settings.xml"/><Relationship Id="rId9" Type="http://schemas.openxmlformats.org/officeDocument/2006/relationships/hyperlink" Target="https://www.apt.int/sites/default/files/2022/08/APG23-4-INP-10_J-4_WP4_Preliminary_Views_on_WRC-23_Agenda_Items_1.15_1.16_1.17_1.18_1.19_and_7.docx" TargetMode="External"/><Relationship Id="rId14" Type="http://schemas.openxmlformats.org/officeDocument/2006/relationships/hyperlink" Target="https://www.apt.int/sites/default/files/2022/08/APG23-4-INP-64_India_WP4_Preliminary_Views_on_WRC-23_Agenda_Items_1.16_1.17_1.18_and_1.19.docx"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A41A5-FA4C-4C48-AAA6-7D2665056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1998</Words>
  <Characters>11393</Characters>
  <Application>Microsoft Office Word</Application>
  <DocSecurity>0</DocSecurity>
  <Lines>94</Lines>
  <Paragraphs>26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 Secretariat</dc:creator>
  <cp:lastModifiedBy>Forhadul Parvez</cp:lastModifiedBy>
  <cp:revision>2</cp:revision>
  <cp:lastPrinted>2015-02-02T07:28:00Z</cp:lastPrinted>
  <dcterms:created xsi:type="dcterms:W3CDTF">2022-08-29T05:52:00Z</dcterms:created>
  <dcterms:modified xsi:type="dcterms:W3CDTF">2022-08-29T05:52:00Z</dcterms:modified>
</cp:coreProperties>
</file>