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5A2978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1E359C55" wp14:editId="09BB3203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EC7BD3">
            <w:pPr>
              <w:spacing w:line="0" w:lineRule="atLeast"/>
            </w:pPr>
            <w:r>
              <w:rPr>
                <w:b/>
              </w:rPr>
              <w:t>The Conference Prepar</w:t>
            </w:r>
            <w:r w:rsidR="00EC7BD3">
              <w:rPr>
                <w:b/>
              </w:rPr>
              <w:t>atory  Group for WRC-15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D61820">
            <w:pPr>
              <w:rPr>
                <w:b/>
                <w:bCs/>
                <w:lang w:val="fr-F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976F29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7D59A6">
            <w:pPr>
              <w:rPr>
                <w:b/>
              </w:rPr>
            </w:pPr>
          </w:p>
        </w:tc>
      </w:tr>
    </w:tbl>
    <w:p w:rsidR="00DA7595" w:rsidRDefault="00EC7BD3" w:rsidP="00DA7595">
      <w:pPr>
        <w:rPr>
          <w:lang w:eastAsia="ko-KR"/>
        </w:rPr>
      </w:pPr>
      <w:r>
        <w:rPr>
          <w:lang w:eastAsia="ko-KR"/>
        </w:rPr>
        <w:t>Source: APG15-4/OUT-24</w:t>
      </w:r>
    </w:p>
    <w:p w:rsidR="00004A6B" w:rsidRDefault="00004A6B" w:rsidP="00004A6B">
      <w:pPr>
        <w:jc w:val="center"/>
        <w:rPr>
          <w:rFonts w:eastAsiaTheme="minorEastAsia"/>
          <w:b/>
          <w:sz w:val="28"/>
          <w:szCs w:val="28"/>
          <w:lang w:eastAsia="ja-JP"/>
        </w:rPr>
      </w:pPr>
    </w:p>
    <w:p w:rsidR="002A14B9" w:rsidRPr="00F66863" w:rsidRDefault="002A14B9" w:rsidP="00F66863">
      <w:pPr>
        <w:rPr>
          <w:rFonts w:eastAsiaTheme="minorEastAsia"/>
          <w:b/>
          <w:bCs/>
          <w:caps/>
          <w:sz w:val="28"/>
          <w:szCs w:val="28"/>
          <w:lang w:eastAsia="zh-CN"/>
        </w:rPr>
      </w:pPr>
    </w:p>
    <w:p w:rsidR="00C357AD" w:rsidRPr="00B134E3" w:rsidRDefault="00D1252E" w:rsidP="0063062B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B134E3">
        <w:rPr>
          <w:b/>
          <w:bCs/>
          <w:caps/>
          <w:sz w:val="28"/>
          <w:szCs w:val="28"/>
        </w:rPr>
        <w:t xml:space="preserve"> agenda item </w:t>
      </w:r>
      <w:r w:rsidR="00B134E3">
        <w:rPr>
          <w:rFonts w:eastAsiaTheme="minorEastAsia" w:hint="eastAsia"/>
          <w:b/>
          <w:bCs/>
          <w:caps/>
          <w:sz w:val="28"/>
          <w:szCs w:val="28"/>
          <w:lang w:eastAsia="ja-JP"/>
        </w:rPr>
        <w:t>1.10</w:t>
      </w:r>
      <w:r w:rsidR="00EC7BD3">
        <w:rPr>
          <w:rFonts w:eastAsiaTheme="minorEastAsia"/>
          <w:b/>
          <w:bCs/>
          <w:caps/>
          <w:sz w:val="28"/>
          <w:szCs w:val="28"/>
          <w:lang w:eastAsia="ja-JP"/>
        </w:rPr>
        <w:t xml:space="preserve"> developed by apg15-4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004A6B" w:rsidRPr="00DC1D7C" w:rsidRDefault="00004A6B" w:rsidP="00004A6B">
      <w:pPr>
        <w:jc w:val="both"/>
        <w:rPr>
          <w:lang w:eastAsia="zh-CN"/>
        </w:rPr>
      </w:pPr>
      <w:r>
        <w:rPr>
          <w:b/>
        </w:rPr>
        <w:t xml:space="preserve">Agenda Item 1.10: </w:t>
      </w:r>
      <w:r w:rsidRPr="00F97837">
        <w:rPr>
          <w:rFonts w:eastAsia="SimSun"/>
          <w:i/>
        </w:rPr>
        <w:t xml:space="preserve">to consider spectrum requirements and possible additional spectrum allocations for the mobile-satellite service in the Earth-to-space and space-to-Earth directions, including the satellite component for broadband applications, including International Mobile Telecommunications (IMT), within the frequency range from 22 GHz to 26 GHz, in accordance with Resolution </w:t>
      </w:r>
      <w:r>
        <w:rPr>
          <w:rFonts w:eastAsia="SimSun"/>
          <w:b/>
          <w:bCs/>
          <w:i/>
        </w:rPr>
        <w:t>234</w:t>
      </w:r>
      <w:r w:rsidRPr="00AD1768">
        <w:rPr>
          <w:rFonts w:eastAsia="SimSun"/>
          <w:b/>
          <w:bCs/>
          <w:i/>
        </w:rPr>
        <w:t xml:space="preserve"> (WRC</w:t>
      </w:r>
      <w:r w:rsidRPr="00AD1768">
        <w:rPr>
          <w:rFonts w:eastAsia="SimSun"/>
          <w:b/>
          <w:bCs/>
          <w:i/>
        </w:rPr>
        <w:noBreakHyphen/>
        <w:t>12)</w:t>
      </w:r>
    </w:p>
    <w:p w:rsidR="00004A6B" w:rsidRPr="00FB2508" w:rsidRDefault="00004A6B" w:rsidP="00004A6B">
      <w:pPr>
        <w:spacing w:before="240"/>
        <w:rPr>
          <w:bCs/>
        </w:rPr>
      </w:pPr>
      <w:r w:rsidRPr="00FB2508">
        <w:rPr>
          <w:iCs/>
        </w:rPr>
        <w:t xml:space="preserve">Resolution </w:t>
      </w:r>
      <w:r w:rsidRPr="00FB2508">
        <w:rPr>
          <w:b/>
          <w:iCs/>
        </w:rPr>
        <w:t>234 (WRC-12)</w:t>
      </w:r>
      <w:r w:rsidRPr="00D5513A">
        <w:rPr>
          <w:bCs/>
          <w:iCs/>
        </w:rPr>
        <w:t>:</w:t>
      </w:r>
      <w:r w:rsidR="00F66863">
        <w:rPr>
          <w:rFonts w:eastAsiaTheme="minorEastAsia" w:hint="eastAsia"/>
          <w:bCs/>
          <w:iCs/>
          <w:lang w:eastAsia="zh-CN"/>
        </w:rPr>
        <w:t xml:space="preserve"> </w:t>
      </w:r>
      <w:r w:rsidRPr="00DC28DF">
        <w:rPr>
          <w:bCs/>
          <w:i/>
          <w:iCs/>
        </w:rPr>
        <w:t>Additional primary allocations to the mobile-satellite service within the bands from 22 GHz to 26 GHz</w:t>
      </w:r>
    </w:p>
    <w:p w:rsidR="000A5418" w:rsidRDefault="000A5418" w:rsidP="00C357AD">
      <w:pPr>
        <w:jc w:val="both"/>
      </w:pPr>
    </w:p>
    <w:p w:rsidR="00A83480" w:rsidRPr="00A83480" w:rsidRDefault="00A83480" w:rsidP="003A4F77">
      <w:pPr>
        <w:jc w:val="both"/>
        <w:rPr>
          <w:rFonts w:eastAsiaTheme="minorEastAsia"/>
          <w:b/>
          <w:lang w:eastAsia="ja-JP"/>
        </w:rPr>
      </w:pPr>
    </w:p>
    <w:p w:rsidR="006A02CF" w:rsidRDefault="006A02CF" w:rsidP="003A4F77">
      <w:pPr>
        <w:jc w:val="both"/>
        <w:rPr>
          <w:b/>
        </w:rPr>
      </w:pPr>
      <w:r>
        <w:rPr>
          <w:b/>
        </w:rPr>
        <w:t>APT Preliminary Views:</w:t>
      </w:r>
    </w:p>
    <w:p w:rsidR="003732C0" w:rsidRPr="00001942" w:rsidRDefault="0059665B" w:rsidP="00EC7BD3">
      <w:pPr>
        <w:spacing w:before="120"/>
        <w:jc w:val="both"/>
        <w:rPr>
          <w:rFonts w:eastAsiaTheme="minorEastAsia"/>
          <w:lang w:eastAsia="ja-JP"/>
        </w:rPr>
      </w:pPr>
      <w:r>
        <w:rPr>
          <w:rFonts w:eastAsia="MS Mincho" w:hint="eastAsia"/>
          <w:lang w:eastAsia="ja-JP"/>
        </w:rPr>
        <w:t xml:space="preserve">Noting that </w:t>
      </w:r>
      <w:r w:rsidR="00406EB0">
        <w:rPr>
          <w:rFonts w:eastAsiaTheme="minorEastAsia" w:hint="eastAsia"/>
          <w:lang w:eastAsia="zh-CN"/>
        </w:rPr>
        <w:t xml:space="preserve">ITU-R </w:t>
      </w:r>
      <w:r w:rsidR="00803CEA">
        <w:rPr>
          <w:rFonts w:eastAsia="MS Mincho" w:hint="eastAsia"/>
          <w:lang w:eastAsia="ja-JP"/>
        </w:rPr>
        <w:t xml:space="preserve">sharing </w:t>
      </w:r>
      <w:r w:rsidR="00406EB0">
        <w:rPr>
          <w:rFonts w:eastAsiaTheme="minorEastAsia" w:hint="eastAsia"/>
          <w:lang w:eastAsia="zh-CN"/>
        </w:rPr>
        <w:t xml:space="preserve">studies are not complete, </w:t>
      </w:r>
      <w:r w:rsidR="003732C0" w:rsidRPr="000D5170">
        <w:rPr>
          <w:lang w:eastAsia="ko-KR"/>
        </w:rPr>
        <w:t>APT Members</w:t>
      </w:r>
      <w:r w:rsidR="007447FD">
        <w:rPr>
          <w:rFonts w:eastAsiaTheme="minorEastAsia" w:hint="eastAsia"/>
          <w:lang w:eastAsia="zh-CN"/>
        </w:rPr>
        <w:t>, at this stage,</w:t>
      </w:r>
      <w:r w:rsidR="003732C0" w:rsidRPr="000D5170">
        <w:rPr>
          <w:lang w:eastAsia="ko-KR"/>
        </w:rPr>
        <w:t xml:space="preserve"> do not support any additional allocation to MSS within the frequency range 22 – 26 GHz</w:t>
      </w:r>
      <w:r w:rsidR="003732C0" w:rsidRPr="003732C0">
        <w:t xml:space="preserve"> </w:t>
      </w:r>
      <w:r w:rsidR="003732C0">
        <w:t>and thus support Method A of the Draft CPM Report</w:t>
      </w:r>
      <w:r w:rsidR="003732C0" w:rsidRPr="00CF3235">
        <w:t>.</w:t>
      </w:r>
    </w:p>
    <w:p w:rsidR="007447FD" w:rsidRDefault="007447FD" w:rsidP="00EC7BD3">
      <w:pPr>
        <w:jc w:val="both"/>
        <w:rPr>
          <w:rFonts w:eastAsiaTheme="minorEastAsia"/>
          <w:lang w:eastAsia="zh-CN"/>
        </w:rPr>
      </w:pPr>
    </w:p>
    <w:p w:rsidR="000D5170" w:rsidRPr="000D5170" w:rsidRDefault="003732C0" w:rsidP="00EC7BD3">
      <w:pPr>
        <w:jc w:val="both"/>
      </w:pPr>
      <w:r>
        <w:t>APT</w:t>
      </w:r>
      <w:r w:rsidR="000D5170" w:rsidRPr="000D5170">
        <w:t xml:space="preserve"> </w:t>
      </w:r>
      <w:r w:rsidR="000D5170" w:rsidRPr="000D5170">
        <w:rPr>
          <w:rFonts w:eastAsia="SimSun" w:hint="eastAsia"/>
          <w:lang w:eastAsia="zh-CN"/>
        </w:rPr>
        <w:t>Members</w:t>
      </w:r>
      <w:r w:rsidR="000D5170" w:rsidRPr="000D5170">
        <w:t xml:space="preserve"> are </w:t>
      </w:r>
      <w:r w:rsidR="00406EB0">
        <w:rPr>
          <w:rFonts w:eastAsiaTheme="minorEastAsia" w:hint="eastAsia"/>
          <w:lang w:eastAsia="zh-CN"/>
        </w:rPr>
        <w:t xml:space="preserve">also </w:t>
      </w:r>
      <w:r w:rsidR="000D5170" w:rsidRPr="000D5170">
        <w:t xml:space="preserve">of the view that the </w:t>
      </w:r>
      <w:r w:rsidR="007447FD">
        <w:rPr>
          <w:rFonts w:eastAsiaTheme="minorEastAsia" w:hint="eastAsia"/>
          <w:lang w:eastAsia="zh-CN"/>
        </w:rPr>
        <w:t>spectrum</w:t>
      </w:r>
      <w:r w:rsidR="000D5170" w:rsidRPr="000D5170">
        <w:t xml:space="preserve"> requirements for </w:t>
      </w:r>
      <w:r w:rsidR="000D5170" w:rsidRPr="000D5170">
        <w:rPr>
          <w:rFonts w:hint="eastAsia"/>
        </w:rPr>
        <w:t xml:space="preserve">MSS in </w:t>
      </w:r>
      <w:r w:rsidR="000D5170" w:rsidRPr="000D5170">
        <w:t xml:space="preserve">the 22-26 GHz band </w:t>
      </w:r>
      <w:r>
        <w:t>ha</w:t>
      </w:r>
      <w:r w:rsidR="007447FD">
        <w:rPr>
          <w:rFonts w:eastAsiaTheme="minorEastAsia" w:hint="eastAsia"/>
          <w:lang w:eastAsia="zh-CN"/>
        </w:rPr>
        <w:t>ve</w:t>
      </w:r>
      <w:r>
        <w:t xml:space="preserve"> not been </w:t>
      </w:r>
      <w:r w:rsidR="007447FD">
        <w:rPr>
          <w:rFonts w:eastAsiaTheme="minorEastAsia" w:hint="eastAsia"/>
          <w:lang w:eastAsia="zh-CN"/>
        </w:rPr>
        <w:t>specifically</w:t>
      </w:r>
      <w:r w:rsidR="000D5170" w:rsidRPr="000D5170">
        <w:t xml:space="preserve"> identified taking into account current allocations for MSS above 19 GHz. </w:t>
      </w:r>
    </w:p>
    <w:p w:rsidR="000D5170" w:rsidRPr="000D5170" w:rsidRDefault="000D5170" w:rsidP="00EC7BD3">
      <w:pPr>
        <w:autoSpaceDE w:val="0"/>
        <w:autoSpaceDN w:val="0"/>
        <w:adjustRightInd w:val="0"/>
        <w:jc w:val="both"/>
        <w:rPr>
          <w:rFonts w:eastAsiaTheme="minorEastAsia"/>
          <w:lang w:eastAsia="ja-JP"/>
        </w:rPr>
      </w:pPr>
    </w:p>
    <w:p w:rsidR="00050358" w:rsidRPr="003A4F77" w:rsidRDefault="000D5170" w:rsidP="00EC7BD3">
      <w:pPr>
        <w:autoSpaceDE w:val="0"/>
        <w:autoSpaceDN w:val="0"/>
        <w:adjustRightInd w:val="0"/>
        <w:jc w:val="both"/>
        <w:rPr>
          <w:rFonts w:eastAsiaTheme="minorEastAsia"/>
          <w:lang w:eastAsia="zh-CN"/>
        </w:rPr>
      </w:pPr>
      <w:r w:rsidRPr="000D5170">
        <w:rPr>
          <w:lang w:eastAsia="ko-KR"/>
        </w:rPr>
        <w:t>T</w:t>
      </w:r>
      <w:r w:rsidRPr="000D5170">
        <w:t xml:space="preserve">aking into account the </w:t>
      </w:r>
      <w:r w:rsidRPr="000D5170">
        <w:rPr>
          <w:lang w:eastAsia="ko-KR"/>
        </w:rPr>
        <w:t>results of sharing study conducted by ITU-R</w:t>
      </w:r>
      <w:r w:rsidR="006522F3">
        <w:rPr>
          <w:rFonts w:eastAsiaTheme="minorEastAsia" w:hint="eastAsia"/>
          <w:lang w:eastAsia="ja-JP"/>
        </w:rPr>
        <w:t xml:space="preserve"> so far</w:t>
      </w:r>
      <w:r w:rsidRPr="000D5170">
        <w:t xml:space="preserve">, </w:t>
      </w:r>
      <w:r w:rsidRPr="000D5170">
        <w:rPr>
          <w:lang w:eastAsia="ko-KR"/>
        </w:rPr>
        <w:t xml:space="preserve">APT Members are of </w:t>
      </w:r>
      <w:r w:rsidR="00F80812">
        <w:rPr>
          <w:lang w:eastAsia="ko-KR"/>
        </w:rPr>
        <w:t>the</w:t>
      </w:r>
      <w:r w:rsidRPr="000D5170">
        <w:rPr>
          <w:lang w:eastAsia="ko-KR"/>
        </w:rPr>
        <w:t xml:space="preserve"> view that i</w:t>
      </w:r>
      <w:r w:rsidRPr="000D5170">
        <w:t>t would be very difficult</w:t>
      </w:r>
      <w:r w:rsidR="007447FD">
        <w:rPr>
          <w:rFonts w:eastAsiaTheme="minorEastAsia" w:hint="eastAsia"/>
          <w:lang w:eastAsia="zh-CN"/>
        </w:rPr>
        <w:t xml:space="preserve">, if not impossible, </w:t>
      </w:r>
      <w:r w:rsidRPr="000D5170">
        <w:t xml:space="preserve">to ensure the protection of various incumbent services </w:t>
      </w:r>
      <w:r w:rsidRPr="000D5170">
        <w:rPr>
          <w:lang w:eastAsia="ko-KR"/>
        </w:rPr>
        <w:t xml:space="preserve">in the frequency range 22 – 26 GHz </w:t>
      </w:r>
      <w:r w:rsidRPr="000D5170">
        <w:t>from the impact of</w:t>
      </w:r>
      <w:r w:rsidRPr="000D5170">
        <w:rPr>
          <w:lang w:eastAsia="ko-KR"/>
        </w:rPr>
        <w:t xml:space="preserve"> interference from</w:t>
      </w:r>
      <w:r w:rsidRPr="000D5170">
        <w:t xml:space="preserve"> new allocation to MSS due to the mobility of </w:t>
      </w:r>
      <w:r w:rsidRPr="000D5170">
        <w:rPr>
          <w:lang w:eastAsia="ko-KR"/>
        </w:rPr>
        <w:t>MSS</w:t>
      </w:r>
      <w:r w:rsidRPr="000D5170">
        <w:t xml:space="preserve"> Earth stations.</w:t>
      </w:r>
    </w:p>
    <w:p w:rsidR="000D5170" w:rsidRPr="000D5170" w:rsidRDefault="000D5170" w:rsidP="00EC7BD3">
      <w:pPr>
        <w:autoSpaceDE w:val="0"/>
        <w:autoSpaceDN w:val="0"/>
        <w:adjustRightInd w:val="0"/>
        <w:jc w:val="both"/>
        <w:rPr>
          <w:rFonts w:eastAsiaTheme="minorEastAsia"/>
          <w:lang w:eastAsia="zh-CN"/>
        </w:rPr>
      </w:pPr>
    </w:p>
    <w:p w:rsidR="000D5170" w:rsidRPr="000D5170" w:rsidRDefault="006522F3" w:rsidP="00EC7BD3">
      <w:pPr>
        <w:autoSpaceDE w:val="0"/>
        <w:autoSpaceDN w:val="0"/>
        <w:adjustRightInd w:val="0"/>
        <w:jc w:val="both"/>
      </w:pPr>
      <w:r>
        <w:rPr>
          <w:rFonts w:eastAsiaTheme="minorEastAsia" w:hint="eastAsia"/>
          <w:lang w:eastAsia="ja-JP"/>
        </w:rPr>
        <w:t xml:space="preserve">In addition, </w:t>
      </w:r>
      <w:r w:rsidR="000D5170" w:rsidRPr="000D5170">
        <w:t xml:space="preserve">APT members note that there is no ITU-R technical study to support current Methods B and C in the draft CPM Report. Furthermore, </w:t>
      </w:r>
      <w:r w:rsidR="009B0F2E">
        <w:rPr>
          <w:rFonts w:hint="eastAsia"/>
        </w:rPr>
        <w:t xml:space="preserve">there is </w:t>
      </w:r>
      <w:r w:rsidR="007C62C6">
        <w:rPr>
          <w:rFonts w:hint="eastAsia"/>
        </w:rPr>
        <w:t xml:space="preserve">no regulatory study </w:t>
      </w:r>
      <w:r w:rsidR="007C62C6">
        <w:rPr>
          <w:rFonts w:eastAsia="MS Mincho" w:hint="eastAsia"/>
          <w:lang w:eastAsia="ja-JP"/>
        </w:rPr>
        <w:t xml:space="preserve">on </w:t>
      </w:r>
      <w:r w:rsidR="000D5170" w:rsidRPr="000D5170">
        <w:t xml:space="preserve">coordination procedures </w:t>
      </w:r>
      <w:r w:rsidR="0059665B">
        <w:rPr>
          <w:rFonts w:eastAsia="MS Mincho" w:hint="eastAsia"/>
          <w:lang w:eastAsia="ja-JP"/>
        </w:rPr>
        <w:t xml:space="preserve">that is sufficient </w:t>
      </w:r>
      <w:r w:rsidR="000D5170" w:rsidRPr="000D5170">
        <w:t xml:space="preserve">for </w:t>
      </w:r>
      <w:r w:rsidR="003C02DB">
        <w:rPr>
          <w:rFonts w:eastAsia="MS Mincho" w:hint="eastAsia"/>
          <w:lang w:eastAsia="ja-JP"/>
        </w:rPr>
        <w:t xml:space="preserve">implementation of </w:t>
      </w:r>
      <w:r w:rsidR="000D5170" w:rsidRPr="000D5170">
        <w:t xml:space="preserve">coordinating the proposed GSO MSS space stations with respect to the existing </w:t>
      </w:r>
      <w:r w:rsidR="000D5170" w:rsidRPr="00791984">
        <w:t>non-G</w:t>
      </w:r>
      <w:r w:rsidR="000D5170" w:rsidRPr="007C62C6">
        <w:t>SO ISS</w:t>
      </w:r>
      <w:r w:rsidR="003C02DB">
        <w:rPr>
          <w:rFonts w:eastAsia="MS Mincho" w:hint="eastAsia"/>
          <w:lang w:eastAsia="ja-JP"/>
        </w:rPr>
        <w:t xml:space="preserve"> in </w:t>
      </w:r>
      <w:r w:rsidR="007C62C6" w:rsidRPr="00FF25F0">
        <w:rPr>
          <w:rFonts w:eastAsia="MS Mincho"/>
          <w:lang w:eastAsia="ja-JP"/>
        </w:rPr>
        <w:t>Method B and C.</w:t>
      </w:r>
      <w:r w:rsidR="000D5170" w:rsidRPr="000D5170">
        <w:t xml:space="preserve"> </w:t>
      </w:r>
    </w:p>
    <w:p w:rsidR="000D5170" w:rsidRPr="003C02DB" w:rsidRDefault="000D5170" w:rsidP="00EC7BD3">
      <w:pPr>
        <w:jc w:val="both"/>
        <w:rPr>
          <w:rFonts w:eastAsiaTheme="minorEastAsia"/>
          <w:lang w:eastAsia="ja-JP"/>
        </w:rPr>
      </w:pPr>
      <w:bookmarkStart w:id="0" w:name="_GoBack"/>
      <w:bookmarkEnd w:id="0"/>
    </w:p>
    <w:p w:rsidR="00D36655" w:rsidRDefault="00D36655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9"/>
      <w:footerReference w:type="even" r:id="rId10"/>
      <w:footerReference w:type="defaul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B0" w:rsidRDefault="00624EB0">
      <w:r>
        <w:separator/>
      </w:r>
    </w:p>
  </w:endnote>
  <w:endnote w:type="continuationSeparator" w:id="0">
    <w:p w:rsidR="00624EB0" w:rsidRDefault="0062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CA0C99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CA0C9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CA0C99" w:rsidRPr="002C7EA9">
      <w:rPr>
        <w:rStyle w:val="PageNumber"/>
      </w:rPr>
      <w:fldChar w:fldCharType="separate"/>
    </w:r>
    <w:r w:rsidR="00EC7BD3">
      <w:rPr>
        <w:rStyle w:val="PageNumber"/>
        <w:noProof/>
      </w:rPr>
      <w:t>2</w:t>
    </w:r>
    <w:r w:rsidR="00CA0C99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CA0C9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CA0C99" w:rsidRPr="002C7EA9">
      <w:rPr>
        <w:rStyle w:val="PageNumber"/>
      </w:rPr>
      <w:fldChar w:fldCharType="separate"/>
    </w:r>
    <w:r w:rsidR="00EC7BD3">
      <w:rPr>
        <w:rStyle w:val="PageNumber"/>
        <w:noProof/>
      </w:rPr>
      <w:t>2</w:t>
    </w:r>
    <w:r w:rsidR="00CA0C99"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B0" w:rsidRDefault="00624EB0">
      <w:r>
        <w:separator/>
      </w:r>
    </w:p>
  </w:footnote>
  <w:footnote w:type="continuationSeparator" w:id="0">
    <w:p w:rsidR="00624EB0" w:rsidRDefault="0062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821199">
      <w:rPr>
        <w:lang w:eastAsia="ko-KR"/>
      </w:rPr>
      <w:t>15-4</w:t>
    </w:r>
    <w:r w:rsidR="008319BF">
      <w:rPr>
        <w:rFonts w:hint="eastAsia"/>
        <w:lang w:eastAsia="ko-KR"/>
      </w:rPr>
      <w:t>/</w:t>
    </w:r>
    <w:r w:rsidR="00D61820">
      <w:rPr>
        <w:lang w:eastAsia="ko-KR"/>
      </w:rPr>
      <w:t>OUT</w:t>
    </w:r>
    <w:r w:rsidR="00821199">
      <w:rPr>
        <w:lang w:eastAsia="ko-KR"/>
      </w:rPr>
      <w:t>-</w:t>
    </w:r>
    <w:r w:rsidR="00D61820">
      <w:rPr>
        <w:lang w:eastAsia="ko-KR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04A6B"/>
    <w:rsid w:val="0003595B"/>
    <w:rsid w:val="00050358"/>
    <w:rsid w:val="000713CF"/>
    <w:rsid w:val="000756AE"/>
    <w:rsid w:val="000A5418"/>
    <w:rsid w:val="000D5170"/>
    <w:rsid w:val="000F517C"/>
    <w:rsid w:val="000F5540"/>
    <w:rsid w:val="00123B9E"/>
    <w:rsid w:val="0014199C"/>
    <w:rsid w:val="001539DD"/>
    <w:rsid w:val="00196568"/>
    <w:rsid w:val="001A2CF1"/>
    <w:rsid w:val="001A2F16"/>
    <w:rsid w:val="001B18C2"/>
    <w:rsid w:val="001C610F"/>
    <w:rsid w:val="001D5D7E"/>
    <w:rsid w:val="00254A1B"/>
    <w:rsid w:val="0028454D"/>
    <w:rsid w:val="00290ABD"/>
    <w:rsid w:val="00291C9E"/>
    <w:rsid w:val="002926D4"/>
    <w:rsid w:val="00295D9B"/>
    <w:rsid w:val="002A14B9"/>
    <w:rsid w:val="002A1C09"/>
    <w:rsid w:val="002C07DA"/>
    <w:rsid w:val="002C7EA9"/>
    <w:rsid w:val="00307054"/>
    <w:rsid w:val="00342F20"/>
    <w:rsid w:val="003732C0"/>
    <w:rsid w:val="003809C7"/>
    <w:rsid w:val="00390F78"/>
    <w:rsid w:val="003A4F77"/>
    <w:rsid w:val="003B6263"/>
    <w:rsid w:val="003C02DB"/>
    <w:rsid w:val="003C64A7"/>
    <w:rsid w:val="003D3FDA"/>
    <w:rsid w:val="00406EB0"/>
    <w:rsid w:val="00420822"/>
    <w:rsid w:val="0045458F"/>
    <w:rsid w:val="004633B4"/>
    <w:rsid w:val="00473941"/>
    <w:rsid w:val="00484810"/>
    <w:rsid w:val="004B3553"/>
    <w:rsid w:val="00530E8C"/>
    <w:rsid w:val="00532D8B"/>
    <w:rsid w:val="00545933"/>
    <w:rsid w:val="00557544"/>
    <w:rsid w:val="00572E9C"/>
    <w:rsid w:val="00587875"/>
    <w:rsid w:val="00591AD9"/>
    <w:rsid w:val="0059665B"/>
    <w:rsid w:val="005A2978"/>
    <w:rsid w:val="005D23EF"/>
    <w:rsid w:val="005F256B"/>
    <w:rsid w:val="00601DEE"/>
    <w:rsid w:val="00607E2B"/>
    <w:rsid w:val="00623CE1"/>
    <w:rsid w:val="00624EB0"/>
    <w:rsid w:val="0063062B"/>
    <w:rsid w:val="006522F3"/>
    <w:rsid w:val="00667229"/>
    <w:rsid w:val="00682BE5"/>
    <w:rsid w:val="00690FED"/>
    <w:rsid w:val="006939A5"/>
    <w:rsid w:val="006A02CF"/>
    <w:rsid w:val="006A4000"/>
    <w:rsid w:val="006B73D3"/>
    <w:rsid w:val="006C1A8B"/>
    <w:rsid w:val="006F5900"/>
    <w:rsid w:val="00700435"/>
    <w:rsid w:val="00712451"/>
    <w:rsid w:val="00715952"/>
    <w:rsid w:val="00732F08"/>
    <w:rsid w:val="0074190C"/>
    <w:rsid w:val="007447FD"/>
    <w:rsid w:val="00762576"/>
    <w:rsid w:val="00791060"/>
    <w:rsid w:val="00791984"/>
    <w:rsid w:val="007A507E"/>
    <w:rsid w:val="007B00DD"/>
    <w:rsid w:val="007B5626"/>
    <w:rsid w:val="007C62C6"/>
    <w:rsid w:val="007D59A6"/>
    <w:rsid w:val="00803CEA"/>
    <w:rsid w:val="0080570B"/>
    <w:rsid w:val="008148E1"/>
    <w:rsid w:val="00814E8B"/>
    <w:rsid w:val="00821199"/>
    <w:rsid w:val="008319BF"/>
    <w:rsid w:val="008466A2"/>
    <w:rsid w:val="00855D9E"/>
    <w:rsid w:val="008D0E09"/>
    <w:rsid w:val="0091389F"/>
    <w:rsid w:val="0097693B"/>
    <w:rsid w:val="00976F29"/>
    <w:rsid w:val="00993355"/>
    <w:rsid w:val="009A4A6D"/>
    <w:rsid w:val="009B0F2E"/>
    <w:rsid w:val="009E0395"/>
    <w:rsid w:val="009F42B7"/>
    <w:rsid w:val="00A13265"/>
    <w:rsid w:val="00A4133B"/>
    <w:rsid w:val="00A53011"/>
    <w:rsid w:val="00A643D6"/>
    <w:rsid w:val="00A71136"/>
    <w:rsid w:val="00A83480"/>
    <w:rsid w:val="00AA474C"/>
    <w:rsid w:val="00AB4C6A"/>
    <w:rsid w:val="00AD5FA8"/>
    <w:rsid w:val="00AD7E5F"/>
    <w:rsid w:val="00B01AA1"/>
    <w:rsid w:val="00B02F45"/>
    <w:rsid w:val="00B134E3"/>
    <w:rsid w:val="00B30C81"/>
    <w:rsid w:val="00B4793B"/>
    <w:rsid w:val="00B97CA4"/>
    <w:rsid w:val="00BA4F92"/>
    <w:rsid w:val="00BB637C"/>
    <w:rsid w:val="00C15633"/>
    <w:rsid w:val="00C15799"/>
    <w:rsid w:val="00C218B5"/>
    <w:rsid w:val="00C34F35"/>
    <w:rsid w:val="00C357AD"/>
    <w:rsid w:val="00C6069C"/>
    <w:rsid w:val="00C7144E"/>
    <w:rsid w:val="00C87EE2"/>
    <w:rsid w:val="00CA0C99"/>
    <w:rsid w:val="00CA46FE"/>
    <w:rsid w:val="00CA6783"/>
    <w:rsid w:val="00CB1029"/>
    <w:rsid w:val="00CB7807"/>
    <w:rsid w:val="00CD5431"/>
    <w:rsid w:val="00CF2491"/>
    <w:rsid w:val="00D1252E"/>
    <w:rsid w:val="00D13B41"/>
    <w:rsid w:val="00D36655"/>
    <w:rsid w:val="00D368EE"/>
    <w:rsid w:val="00D43554"/>
    <w:rsid w:val="00D446F0"/>
    <w:rsid w:val="00D47F9B"/>
    <w:rsid w:val="00D57772"/>
    <w:rsid w:val="00D61820"/>
    <w:rsid w:val="00D75A4D"/>
    <w:rsid w:val="00D8478B"/>
    <w:rsid w:val="00D86151"/>
    <w:rsid w:val="00DA7595"/>
    <w:rsid w:val="00DA7F45"/>
    <w:rsid w:val="00DB0A68"/>
    <w:rsid w:val="00DC43A3"/>
    <w:rsid w:val="00DD7C09"/>
    <w:rsid w:val="00DE733D"/>
    <w:rsid w:val="00E0124F"/>
    <w:rsid w:val="00E60DF6"/>
    <w:rsid w:val="00E63D5B"/>
    <w:rsid w:val="00E674D3"/>
    <w:rsid w:val="00E70FD0"/>
    <w:rsid w:val="00EC7BD3"/>
    <w:rsid w:val="00ED5B19"/>
    <w:rsid w:val="00F157A8"/>
    <w:rsid w:val="00F629DE"/>
    <w:rsid w:val="00F66863"/>
    <w:rsid w:val="00F80812"/>
    <w:rsid w:val="00F84067"/>
    <w:rsid w:val="00FA4636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F5E260-06D2-473A-AB61-FB2CF9C6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Tabletext">
    <w:name w:val="Table_text"/>
    <w:basedOn w:val="Normal"/>
    <w:link w:val="TabletextChar"/>
    <w:rsid w:val="00004A6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/>
      <w:sz w:val="20"/>
      <w:szCs w:val="20"/>
      <w:lang w:val="en-GB"/>
    </w:rPr>
  </w:style>
  <w:style w:type="character" w:customStyle="1" w:styleId="TabletextChar">
    <w:name w:val="Table_text Char"/>
    <w:link w:val="Tabletext"/>
    <w:locked/>
    <w:rsid w:val="00004A6B"/>
    <w:rPr>
      <w:rFonts w:eastAsia="SimSu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2004-07-28T02:14:00Z</cp:lastPrinted>
  <dcterms:created xsi:type="dcterms:W3CDTF">2015-02-13T15:03:00Z</dcterms:created>
  <dcterms:modified xsi:type="dcterms:W3CDTF">2015-04-08T08:01:00Z</dcterms:modified>
</cp:coreProperties>
</file>