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0706E8" w:rsidRPr="00296462" w14:paraId="5641A109" w14:textId="77777777" w:rsidTr="00212987">
        <w:trPr>
          <w:cantSplit/>
          <w:trHeight w:val="288"/>
        </w:trPr>
        <w:tc>
          <w:tcPr>
            <w:tcW w:w="1399" w:type="dxa"/>
            <w:vMerge w:val="restart"/>
          </w:tcPr>
          <w:p w14:paraId="5641A106" w14:textId="77777777" w:rsidR="000706E8" w:rsidRPr="00296462" w:rsidRDefault="000706E8" w:rsidP="00212987">
            <w:pPr>
              <w:widowControl w:val="0"/>
              <w:wordWrap w:val="0"/>
              <w:jc w:val="both"/>
              <w:rPr>
                <w:kern w:val="2"/>
                <w:lang w:eastAsia="ko-KR"/>
              </w:rPr>
            </w:pPr>
            <w:r>
              <w:rPr>
                <w:noProof/>
                <w:kern w:val="2"/>
                <w:lang w:bidi="bn-BD"/>
              </w:rPr>
              <w:drawing>
                <wp:inline distT="0" distB="0" distL="0" distR="0" wp14:anchorId="5641A181" wp14:editId="5641A182">
                  <wp:extent cx="762635" cy="716280"/>
                  <wp:effectExtent l="0" t="0" r="0" b="7620"/>
                  <wp:docPr id="2" name="Picture 2" descr="A logo of a globe with a map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globe with a map an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641A107" w14:textId="77777777" w:rsidR="000706E8" w:rsidRPr="00296462" w:rsidRDefault="000706E8" w:rsidP="00212987">
            <w:r w:rsidRPr="00891D0B">
              <w:rPr>
                <w:sz w:val="22"/>
                <w:szCs w:val="22"/>
              </w:rPr>
              <w:t>ASIA-PACIFIC TELECOMMUNITY</w:t>
            </w:r>
          </w:p>
        </w:tc>
        <w:tc>
          <w:tcPr>
            <w:tcW w:w="2160" w:type="dxa"/>
          </w:tcPr>
          <w:p w14:paraId="5641A108" w14:textId="77777777" w:rsidR="000706E8" w:rsidRPr="00296462" w:rsidRDefault="000706E8" w:rsidP="00212987">
            <w:pPr>
              <w:keepNext/>
              <w:widowControl w:val="0"/>
              <w:wordWrap w:val="0"/>
              <w:jc w:val="both"/>
              <w:outlineLvl w:val="7"/>
              <w:rPr>
                <w:b/>
                <w:bCs/>
                <w:kern w:val="2"/>
                <w:lang w:eastAsia="ko-KR"/>
              </w:rPr>
            </w:pPr>
            <w:r w:rsidRPr="00296462">
              <w:rPr>
                <w:b/>
                <w:bCs/>
                <w:kern w:val="2"/>
                <w:lang w:eastAsia="ko-KR"/>
              </w:rPr>
              <w:t>Document No:</w:t>
            </w:r>
          </w:p>
        </w:tc>
      </w:tr>
      <w:tr w:rsidR="000706E8" w:rsidRPr="00296462" w14:paraId="5641A10E" w14:textId="77777777" w:rsidTr="00212987">
        <w:trPr>
          <w:cantSplit/>
          <w:trHeight w:val="504"/>
        </w:trPr>
        <w:tc>
          <w:tcPr>
            <w:tcW w:w="1399" w:type="dxa"/>
            <w:vMerge/>
          </w:tcPr>
          <w:p w14:paraId="5641A10A" w14:textId="77777777" w:rsidR="000706E8" w:rsidRPr="00296462" w:rsidRDefault="000706E8" w:rsidP="00212987"/>
        </w:tc>
        <w:tc>
          <w:tcPr>
            <w:tcW w:w="5760" w:type="dxa"/>
            <w:vAlign w:val="center"/>
          </w:tcPr>
          <w:p w14:paraId="5641A10B" w14:textId="77777777" w:rsidR="000706E8" w:rsidRDefault="000706E8" w:rsidP="00212987">
            <w:pPr>
              <w:rPr>
                <w:b/>
              </w:rPr>
            </w:pPr>
            <w:r>
              <w:rPr>
                <w:b/>
              </w:rPr>
              <w:t xml:space="preserve">The Meeting of the SATRC Working Group </w:t>
            </w:r>
          </w:p>
          <w:p w14:paraId="5641A10C" w14:textId="77777777" w:rsidR="000706E8" w:rsidRPr="00296462" w:rsidRDefault="000706E8" w:rsidP="00212987">
            <w:r>
              <w:rPr>
                <w:b/>
              </w:rPr>
              <w:t xml:space="preserve">on </w:t>
            </w:r>
            <w:r w:rsidR="00647202">
              <w:rPr>
                <w:b/>
              </w:rPr>
              <w:t>Policy, Regulation and Services</w:t>
            </w:r>
          </w:p>
        </w:tc>
        <w:tc>
          <w:tcPr>
            <w:tcW w:w="2160" w:type="dxa"/>
          </w:tcPr>
          <w:p w14:paraId="5641A10D" w14:textId="670992E6" w:rsidR="000706E8" w:rsidRPr="00081DEE" w:rsidRDefault="000706E8" w:rsidP="00212987">
            <w:pPr>
              <w:rPr>
                <w:b/>
                <w:bCs/>
                <w:szCs w:val="30"/>
                <w:lang w:bidi="th-TH"/>
              </w:rPr>
            </w:pPr>
            <w:r w:rsidRPr="00296462">
              <w:rPr>
                <w:b/>
                <w:bCs/>
                <w:lang w:val="en-GB"/>
              </w:rPr>
              <w:t>SAP</w:t>
            </w:r>
            <w:r>
              <w:rPr>
                <w:b/>
                <w:bCs/>
                <w:lang w:val="en-GB"/>
              </w:rPr>
              <w:t>IX</w:t>
            </w:r>
            <w:r w:rsidRPr="00296462">
              <w:rPr>
                <w:b/>
                <w:bCs/>
                <w:lang w:val="en-GB"/>
              </w:rPr>
              <w:t>-</w:t>
            </w:r>
            <w:r w:rsidR="00647202">
              <w:rPr>
                <w:b/>
                <w:bCs/>
                <w:lang w:val="en-GB"/>
              </w:rPr>
              <w:t>PRS</w:t>
            </w:r>
            <w:r w:rsidRPr="00296462">
              <w:rPr>
                <w:b/>
                <w:bCs/>
                <w:lang w:val="en-GB"/>
              </w:rPr>
              <w:t>1/</w:t>
            </w:r>
            <w:r>
              <w:rPr>
                <w:b/>
                <w:bCs/>
                <w:lang w:val="en-GB"/>
              </w:rPr>
              <w:t xml:space="preserve"> </w:t>
            </w:r>
            <w:r w:rsidR="00C51CA3">
              <w:rPr>
                <w:b/>
                <w:bCs/>
                <w:lang w:val="en-GB"/>
              </w:rPr>
              <w:t>OUT</w:t>
            </w:r>
            <w:r w:rsidRPr="00296462">
              <w:rPr>
                <w:b/>
                <w:bCs/>
                <w:lang w:val="en-GB"/>
              </w:rPr>
              <w:t>-</w:t>
            </w:r>
            <w:r w:rsidR="007C4860">
              <w:rPr>
                <w:b/>
                <w:bCs/>
                <w:lang w:val="en-GB"/>
              </w:rPr>
              <w:t>0</w:t>
            </w:r>
            <w:r w:rsidR="00C51CA3">
              <w:rPr>
                <w:b/>
                <w:bCs/>
                <w:lang w:val="en-GB"/>
              </w:rPr>
              <w:t>6</w:t>
            </w:r>
          </w:p>
        </w:tc>
      </w:tr>
      <w:tr w:rsidR="000706E8" w:rsidRPr="00296462" w14:paraId="5641A112" w14:textId="77777777" w:rsidTr="00212987">
        <w:trPr>
          <w:cantSplit/>
          <w:trHeight w:val="288"/>
        </w:trPr>
        <w:tc>
          <w:tcPr>
            <w:tcW w:w="1399" w:type="dxa"/>
            <w:vMerge/>
          </w:tcPr>
          <w:p w14:paraId="5641A10F" w14:textId="77777777" w:rsidR="000706E8" w:rsidRPr="00296462" w:rsidRDefault="000706E8" w:rsidP="00212987">
            <w:pPr>
              <w:rPr>
                <w:lang w:val="en-GB"/>
              </w:rPr>
            </w:pPr>
          </w:p>
        </w:tc>
        <w:tc>
          <w:tcPr>
            <w:tcW w:w="5760" w:type="dxa"/>
            <w:vAlign w:val="bottom"/>
          </w:tcPr>
          <w:p w14:paraId="5641A110" w14:textId="77777777" w:rsidR="000706E8" w:rsidRPr="00296462" w:rsidRDefault="00647202" w:rsidP="00212987">
            <w:pPr>
              <w:rPr>
                <w:b/>
              </w:rPr>
            </w:pPr>
            <w:r>
              <w:t>14</w:t>
            </w:r>
            <w:r w:rsidR="000706E8">
              <w:t xml:space="preserve"> – </w:t>
            </w:r>
            <w:r>
              <w:t>16</w:t>
            </w:r>
            <w:r w:rsidR="000706E8">
              <w:t xml:space="preserve"> May 2024</w:t>
            </w:r>
            <w:r w:rsidR="000706E8" w:rsidRPr="00AC06BB">
              <w:t xml:space="preserve">, </w:t>
            </w:r>
            <w:r>
              <w:t>Islamabad, Pakistan</w:t>
            </w:r>
          </w:p>
        </w:tc>
        <w:tc>
          <w:tcPr>
            <w:tcW w:w="2160" w:type="dxa"/>
            <w:vAlign w:val="bottom"/>
          </w:tcPr>
          <w:p w14:paraId="5641A111" w14:textId="1231633D" w:rsidR="000706E8" w:rsidRPr="00296462" w:rsidRDefault="00C51CA3" w:rsidP="00212987">
            <w:r>
              <w:t>16</w:t>
            </w:r>
            <w:r w:rsidR="000706E8" w:rsidRPr="00296462">
              <w:t xml:space="preserve"> May 202</w:t>
            </w:r>
            <w:r w:rsidR="000706E8">
              <w:t>4</w:t>
            </w:r>
          </w:p>
        </w:tc>
      </w:tr>
    </w:tbl>
    <w:p w14:paraId="5641A113" w14:textId="77777777" w:rsidR="000706E8" w:rsidRPr="00296462" w:rsidRDefault="000706E8" w:rsidP="000706E8">
      <w:pPr>
        <w:rPr>
          <w:lang w:eastAsia="ko-KR"/>
        </w:rPr>
      </w:pPr>
    </w:p>
    <w:p w14:paraId="5641A114" w14:textId="77777777" w:rsidR="000706E8" w:rsidRPr="00296462" w:rsidRDefault="000706E8" w:rsidP="000706E8">
      <w:pPr>
        <w:jc w:val="center"/>
        <w:rPr>
          <w:sz w:val="16"/>
          <w:szCs w:val="16"/>
          <w:lang w:eastAsia="ko-KR"/>
        </w:rPr>
      </w:pPr>
    </w:p>
    <w:p w14:paraId="5641A115" w14:textId="77777777" w:rsidR="000706E8" w:rsidRDefault="000706E8" w:rsidP="000706E8">
      <w:pPr>
        <w:jc w:val="center"/>
        <w:rPr>
          <w:lang w:eastAsia="ko-KR"/>
        </w:rPr>
      </w:pPr>
      <w:r>
        <w:rPr>
          <w:lang w:eastAsia="ko-KR"/>
        </w:rPr>
        <w:t xml:space="preserve">Working Group on </w:t>
      </w:r>
      <w:r w:rsidR="00647202">
        <w:rPr>
          <w:lang w:eastAsia="ko-KR"/>
        </w:rPr>
        <w:t>Policy, Regulation and Services</w:t>
      </w:r>
    </w:p>
    <w:p w14:paraId="5641A116" w14:textId="77777777" w:rsidR="0032473F" w:rsidRDefault="0032473F" w:rsidP="000706E8">
      <w:pPr>
        <w:rPr>
          <w:lang w:eastAsia="ko-KR"/>
        </w:rPr>
      </w:pPr>
    </w:p>
    <w:p w14:paraId="5641A117" w14:textId="77777777" w:rsidR="009D2B01" w:rsidRPr="00BC76D8" w:rsidRDefault="009D2B01" w:rsidP="00503B95">
      <w:pPr>
        <w:jc w:val="center"/>
        <w:rPr>
          <w:lang w:eastAsia="ko-KR"/>
        </w:rPr>
      </w:pPr>
    </w:p>
    <w:p w14:paraId="623FC681" w14:textId="71859BEC" w:rsidR="009455E2" w:rsidRDefault="00503B95" w:rsidP="0032473F">
      <w:pPr>
        <w:jc w:val="center"/>
        <w:rPr>
          <w:b/>
          <w:bCs/>
        </w:rPr>
      </w:pPr>
      <w:r w:rsidRPr="00EA7A23">
        <w:rPr>
          <w:rFonts w:eastAsia="Batang"/>
          <w:b/>
          <w:bCs/>
          <w:lang w:eastAsia="ko-KR"/>
        </w:rPr>
        <w:t xml:space="preserve">QUESTIONNAIRE ON </w:t>
      </w:r>
      <w:r w:rsidR="009455E2">
        <w:rPr>
          <w:b/>
          <w:bCs/>
        </w:rPr>
        <w:t xml:space="preserve">ANALYZING THE IMPACT OF </w:t>
      </w:r>
    </w:p>
    <w:p w14:paraId="5641A118" w14:textId="5ACF6AC4" w:rsidR="00503B95" w:rsidRPr="008E67D0" w:rsidRDefault="009455E2" w:rsidP="0032473F">
      <w:pPr>
        <w:jc w:val="center"/>
        <w:rPr>
          <w:rFonts w:eastAsia="Batang"/>
          <w:b/>
          <w:bCs/>
          <w:lang w:eastAsia="ko-KR"/>
        </w:rPr>
      </w:pPr>
      <w:r>
        <w:rPr>
          <w:b/>
          <w:bCs/>
        </w:rPr>
        <w:t>CONVERGENCE AND EMERGING SERVICES ON THE TARIFF POLICIES IN SATRC COUNTRIES</w:t>
      </w:r>
    </w:p>
    <w:p w14:paraId="5641A119" w14:textId="77777777" w:rsidR="00503B95" w:rsidRPr="008E67D0" w:rsidRDefault="00503B95" w:rsidP="00503B95">
      <w:pPr>
        <w:rPr>
          <w:b/>
          <w:bCs/>
        </w:rPr>
      </w:pPr>
    </w:p>
    <w:p w14:paraId="5641A11A" w14:textId="77777777" w:rsidR="00503B95" w:rsidRDefault="00503B95" w:rsidP="00503B95">
      <w:pPr>
        <w:spacing w:line="259" w:lineRule="auto"/>
        <w:rPr>
          <w:rFonts w:eastAsiaTheme="minorHAnsi"/>
        </w:rPr>
      </w:pPr>
    </w:p>
    <w:p w14:paraId="5641A11B" w14:textId="77777777" w:rsidR="000706E8" w:rsidRDefault="000706E8" w:rsidP="00503B95">
      <w:pPr>
        <w:spacing w:line="259" w:lineRule="auto"/>
        <w:rPr>
          <w:rFonts w:eastAsiaTheme="minorHAnsi"/>
        </w:rPr>
      </w:pPr>
    </w:p>
    <w:p w14:paraId="5641A11C" w14:textId="77777777" w:rsidR="000706E8" w:rsidRDefault="000706E8" w:rsidP="00503B95">
      <w:pPr>
        <w:spacing w:line="259" w:lineRule="auto"/>
        <w:rPr>
          <w:rFonts w:eastAsiaTheme="minorHAnsi"/>
        </w:rPr>
      </w:pPr>
    </w:p>
    <w:p w14:paraId="5641A11D" w14:textId="77777777" w:rsidR="000706E8" w:rsidRDefault="000706E8" w:rsidP="00503B95">
      <w:pPr>
        <w:spacing w:line="259" w:lineRule="auto"/>
        <w:rPr>
          <w:rFonts w:eastAsiaTheme="minorHAnsi"/>
        </w:rPr>
      </w:pPr>
    </w:p>
    <w:p w14:paraId="5641A11E" w14:textId="77777777" w:rsidR="000706E8" w:rsidRDefault="000706E8" w:rsidP="00503B95">
      <w:pPr>
        <w:spacing w:line="259" w:lineRule="auto"/>
        <w:rPr>
          <w:rFonts w:eastAsiaTheme="minorHAnsi"/>
        </w:rPr>
      </w:pPr>
    </w:p>
    <w:p w14:paraId="5641A11F" w14:textId="77777777" w:rsidR="000706E8" w:rsidRDefault="000706E8" w:rsidP="00503B95">
      <w:pPr>
        <w:spacing w:line="259" w:lineRule="auto"/>
        <w:rPr>
          <w:rFonts w:eastAsiaTheme="minorHAnsi"/>
        </w:rPr>
      </w:pPr>
    </w:p>
    <w:p w14:paraId="5641A120" w14:textId="77777777" w:rsidR="000706E8" w:rsidRDefault="000706E8" w:rsidP="00503B95">
      <w:pPr>
        <w:spacing w:line="259" w:lineRule="auto"/>
        <w:rPr>
          <w:rFonts w:eastAsiaTheme="minorHAnsi"/>
        </w:rPr>
      </w:pPr>
    </w:p>
    <w:p w14:paraId="5641A121" w14:textId="77777777" w:rsidR="000706E8" w:rsidRDefault="000706E8" w:rsidP="00503B95">
      <w:pPr>
        <w:spacing w:line="259" w:lineRule="auto"/>
        <w:rPr>
          <w:rFonts w:eastAsiaTheme="minorHAnsi"/>
        </w:rPr>
      </w:pPr>
    </w:p>
    <w:p w14:paraId="5641A122" w14:textId="77777777" w:rsidR="000706E8" w:rsidRDefault="000706E8" w:rsidP="00503B95">
      <w:pPr>
        <w:spacing w:line="259" w:lineRule="auto"/>
        <w:rPr>
          <w:rFonts w:eastAsiaTheme="minorHAnsi"/>
        </w:rPr>
      </w:pPr>
    </w:p>
    <w:p w14:paraId="5641A123" w14:textId="77777777" w:rsidR="000706E8" w:rsidRDefault="000706E8" w:rsidP="00503B95">
      <w:pPr>
        <w:spacing w:line="259" w:lineRule="auto"/>
        <w:rPr>
          <w:rFonts w:eastAsiaTheme="minorHAnsi"/>
        </w:rPr>
      </w:pPr>
    </w:p>
    <w:p w14:paraId="5641A124" w14:textId="77777777" w:rsidR="000706E8" w:rsidRDefault="000706E8" w:rsidP="00503B95">
      <w:pPr>
        <w:spacing w:line="259" w:lineRule="auto"/>
        <w:rPr>
          <w:rFonts w:eastAsiaTheme="minorHAnsi"/>
        </w:rPr>
      </w:pPr>
    </w:p>
    <w:p w14:paraId="5641A125" w14:textId="77777777" w:rsidR="000706E8" w:rsidRDefault="000706E8" w:rsidP="00503B95">
      <w:pPr>
        <w:spacing w:line="259" w:lineRule="auto"/>
        <w:rPr>
          <w:rFonts w:eastAsiaTheme="minorHAnsi"/>
        </w:rPr>
      </w:pPr>
    </w:p>
    <w:p w14:paraId="5641A126" w14:textId="77777777" w:rsidR="000706E8" w:rsidRDefault="000706E8" w:rsidP="00503B95">
      <w:pPr>
        <w:spacing w:line="259" w:lineRule="auto"/>
        <w:rPr>
          <w:rFonts w:eastAsiaTheme="minorHAnsi"/>
        </w:rPr>
      </w:pPr>
    </w:p>
    <w:p w14:paraId="5641A127" w14:textId="77777777" w:rsidR="000706E8" w:rsidRDefault="000706E8" w:rsidP="00503B95">
      <w:pPr>
        <w:spacing w:line="259" w:lineRule="auto"/>
        <w:rPr>
          <w:rFonts w:eastAsiaTheme="minorHAnsi"/>
        </w:rPr>
      </w:pPr>
    </w:p>
    <w:p w14:paraId="5641A128" w14:textId="77777777" w:rsidR="000706E8" w:rsidRDefault="000706E8" w:rsidP="00503B95">
      <w:pPr>
        <w:spacing w:line="259" w:lineRule="auto"/>
        <w:rPr>
          <w:rFonts w:eastAsiaTheme="minorHAnsi"/>
        </w:rPr>
      </w:pPr>
    </w:p>
    <w:p w14:paraId="5641A129" w14:textId="77777777" w:rsidR="000706E8" w:rsidRDefault="000706E8" w:rsidP="00503B95">
      <w:pPr>
        <w:spacing w:line="259" w:lineRule="auto"/>
        <w:rPr>
          <w:rFonts w:eastAsiaTheme="minorHAnsi"/>
        </w:rPr>
      </w:pPr>
    </w:p>
    <w:p w14:paraId="5641A12A" w14:textId="77777777" w:rsidR="000706E8" w:rsidRDefault="000706E8" w:rsidP="00503B95">
      <w:pPr>
        <w:spacing w:line="259" w:lineRule="auto"/>
        <w:rPr>
          <w:rFonts w:eastAsiaTheme="minorHAnsi"/>
        </w:rPr>
      </w:pPr>
    </w:p>
    <w:p w14:paraId="5641A12B" w14:textId="77777777" w:rsidR="000706E8" w:rsidRDefault="000706E8" w:rsidP="00503B95">
      <w:pPr>
        <w:spacing w:line="259" w:lineRule="auto"/>
        <w:rPr>
          <w:rFonts w:eastAsiaTheme="minorHAnsi"/>
        </w:rPr>
      </w:pPr>
    </w:p>
    <w:p w14:paraId="5641A12C" w14:textId="77777777" w:rsidR="000706E8" w:rsidRDefault="000706E8" w:rsidP="00503B95">
      <w:pPr>
        <w:spacing w:line="259" w:lineRule="auto"/>
        <w:rPr>
          <w:rFonts w:eastAsiaTheme="minorHAnsi"/>
        </w:rPr>
      </w:pPr>
    </w:p>
    <w:p w14:paraId="5641A12D" w14:textId="77777777" w:rsidR="000706E8" w:rsidRDefault="000706E8" w:rsidP="00503B95">
      <w:pPr>
        <w:spacing w:line="259" w:lineRule="auto"/>
        <w:rPr>
          <w:rFonts w:eastAsiaTheme="minorHAnsi"/>
        </w:rPr>
      </w:pPr>
    </w:p>
    <w:p w14:paraId="5641A12E" w14:textId="77777777" w:rsidR="000706E8" w:rsidRDefault="000706E8" w:rsidP="00503B95">
      <w:pPr>
        <w:spacing w:line="259" w:lineRule="auto"/>
        <w:rPr>
          <w:rFonts w:eastAsiaTheme="minorHAnsi"/>
        </w:rPr>
      </w:pPr>
    </w:p>
    <w:p w14:paraId="5641A12F" w14:textId="77777777" w:rsidR="000706E8" w:rsidRDefault="000706E8" w:rsidP="00503B95">
      <w:pPr>
        <w:spacing w:line="259" w:lineRule="auto"/>
        <w:rPr>
          <w:rFonts w:eastAsiaTheme="minorHAnsi"/>
        </w:rPr>
      </w:pPr>
    </w:p>
    <w:p w14:paraId="5641A130" w14:textId="77777777" w:rsidR="000706E8" w:rsidRDefault="000706E8" w:rsidP="00503B95">
      <w:pPr>
        <w:spacing w:line="259" w:lineRule="auto"/>
        <w:rPr>
          <w:rFonts w:eastAsiaTheme="minorHAnsi"/>
        </w:rPr>
      </w:pPr>
    </w:p>
    <w:p w14:paraId="5641A131" w14:textId="77777777" w:rsidR="000706E8" w:rsidRDefault="000706E8" w:rsidP="00503B95">
      <w:pPr>
        <w:spacing w:line="259" w:lineRule="auto"/>
        <w:rPr>
          <w:rFonts w:eastAsiaTheme="minorHAnsi"/>
        </w:rPr>
      </w:pPr>
    </w:p>
    <w:p w14:paraId="5641A132" w14:textId="77777777" w:rsidR="000706E8" w:rsidRDefault="000706E8" w:rsidP="00503B95">
      <w:pPr>
        <w:spacing w:line="259" w:lineRule="auto"/>
        <w:rPr>
          <w:rFonts w:eastAsiaTheme="minorHAnsi"/>
        </w:rPr>
      </w:pPr>
    </w:p>
    <w:p w14:paraId="5641A133" w14:textId="77777777" w:rsidR="000706E8" w:rsidRDefault="000706E8" w:rsidP="00503B95">
      <w:pPr>
        <w:spacing w:line="259" w:lineRule="auto"/>
        <w:rPr>
          <w:rFonts w:eastAsiaTheme="minorHAnsi"/>
        </w:rPr>
      </w:pPr>
    </w:p>
    <w:p w14:paraId="5641A134" w14:textId="77777777" w:rsidR="000706E8" w:rsidRDefault="000706E8" w:rsidP="00503B95">
      <w:pPr>
        <w:spacing w:line="259" w:lineRule="auto"/>
        <w:rPr>
          <w:rFonts w:eastAsiaTheme="minorHAnsi"/>
        </w:rPr>
      </w:pPr>
    </w:p>
    <w:p w14:paraId="5641A135" w14:textId="77777777" w:rsidR="000706E8" w:rsidRDefault="000706E8" w:rsidP="00503B95">
      <w:pPr>
        <w:spacing w:line="259" w:lineRule="auto"/>
        <w:rPr>
          <w:rFonts w:eastAsiaTheme="minorHAnsi"/>
        </w:rPr>
      </w:pPr>
    </w:p>
    <w:p w14:paraId="5641A136" w14:textId="77777777" w:rsidR="000706E8" w:rsidRDefault="000706E8" w:rsidP="00503B95">
      <w:pPr>
        <w:spacing w:line="259" w:lineRule="auto"/>
        <w:rPr>
          <w:rFonts w:eastAsiaTheme="minorHAnsi"/>
        </w:rPr>
      </w:pPr>
    </w:p>
    <w:p w14:paraId="5641A137" w14:textId="77777777" w:rsidR="000706E8" w:rsidRDefault="000706E8" w:rsidP="00503B95">
      <w:pPr>
        <w:spacing w:line="259" w:lineRule="auto"/>
        <w:rPr>
          <w:rFonts w:eastAsiaTheme="minorHAnsi"/>
        </w:rPr>
      </w:pPr>
    </w:p>
    <w:p w14:paraId="5641A138" w14:textId="77777777" w:rsidR="000706E8" w:rsidRDefault="000706E8" w:rsidP="00503B95">
      <w:pPr>
        <w:spacing w:line="259" w:lineRule="auto"/>
        <w:rPr>
          <w:rFonts w:eastAsiaTheme="minorHAnsi"/>
        </w:rPr>
      </w:pPr>
    </w:p>
    <w:p w14:paraId="5641A139" w14:textId="77777777" w:rsidR="000706E8" w:rsidRDefault="000706E8" w:rsidP="00503B95">
      <w:pPr>
        <w:spacing w:line="259" w:lineRule="auto"/>
        <w:rPr>
          <w:rFonts w:eastAsiaTheme="minorHAnsi"/>
        </w:rPr>
      </w:pPr>
    </w:p>
    <w:p w14:paraId="5641A13A" w14:textId="77777777" w:rsidR="000706E8" w:rsidRDefault="000706E8" w:rsidP="00503B95">
      <w:pPr>
        <w:spacing w:line="259" w:lineRule="auto"/>
        <w:rPr>
          <w:rFonts w:eastAsiaTheme="minorHAnsi"/>
        </w:rPr>
      </w:pPr>
    </w:p>
    <w:p w14:paraId="5641A13B" w14:textId="77777777" w:rsidR="000706E8" w:rsidRDefault="000706E8" w:rsidP="00503B95">
      <w:pPr>
        <w:spacing w:line="259" w:lineRule="auto"/>
        <w:rPr>
          <w:rFonts w:eastAsiaTheme="minorHAnsi"/>
        </w:rPr>
      </w:pPr>
    </w:p>
    <w:p w14:paraId="5641A13C" w14:textId="77777777" w:rsidR="000706E8" w:rsidRDefault="000706E8" w:rsidP="00503B95">
      <w:pPr>
        <w:spacing w:line="259" w:lineRule="auto"/>
        <w:rPr>
          <w:rFonts w:eastAsiaTheme="minorHAnsi"/>
        </w:rPr>
      </w:pPr>
    </w:p>
    <w:p w14:paraId="5641A13D" w14:textId="77777777" w:rsidR="000706E8" w:rsidRDefault="000706E8" w:rsidP="00503B95">
      <w:pPr>
        <w:spacing w:line="259" w:lineRule="auto"/>
        <w:rPr>
          <w:rFonts w:eastAsiaTheme="minorHAnsi"/>
        </w:rPr>
      </w:pPr>
    </w:p>
    <w:p w14:paraId="37353CF4" w14:textId="77777777" w:rsidR="00992F8B" w:rsidRDefault="00992F8B" w:rsidP="00992F8B">
      <w:pPr>
        <w:rPr>
          <w:b/>
          <w:bCs/>
          <w:color w:val="0D0D0D"/>
          <w:shd w:val="clear" w:color="auto" w:fill="FFFFFF"/>
        </w:rPr>
      </w:pPr>
      <w:r w:rsidRPr="00E65D24">
        <w:rPr>
          <w:b/>
          <w:bCs/>
          <w:color w:val="0D0D0D"/>
          <w:shd w:val="clear" w:color="auto" w:fill="FFFFFF"/>
        </w:rPr>
        <w:t xml:space="preserve">Analyzing the impact of convergence and emerging services of the Tariff policies in SATRC countries. </w:t>
      </w:r>
    </w:p>
    <w:p w14:paraId="31D7BA35" w14:textId="77777777" w:rsidR="009455E2" w:rsidRPr="00E65D24" w:rsidRDefault="009455E2" w:rsidP="00992F8B">
      <w:pPr>
        <w:rPr>
          <w:b/>
          <w:bCs/>
          <w:color w:val="0D0D0D"/>
          <w:shd w:val="clear" w:color="auto" w:fill="FFFFFF"/>
        </w:rPr>
      </w:pPr>
    </w:p>
    <w:p w14:paraId="107026F9" w14:textId="101E09F7" w:rsidR="00992F8B" w:rsidRPr="00E65D24" w:rsidRDefault="00992F8B" w:rsidP="00992F8B">
      <w:pPr>
        <w:jc w:val="both"/>
        <w:rPr>
          <w:color w:val="0D0D0D"/>
          <w:shd w:val="clear" w:color="auto" w:fill="FFFFFF"/>
        </w:rPr>
      </w:pPr>
      <w:r w:rsidRPr="00E65D24">
        <w:rPr>
          <w:color w:val="0D0D0D"/>
          <w:shd w:val="clear" w:color="auto" w:fill="FFFFFF"/>
        </w:rPr>
        <w:t xml:space="preserve">As like all </w:t>
      </w:r>
      <w:proofErr w:type="gramStart"/>
      <w:r w:rsidRPr="00E65D24">
        <w:rPr>
          <w:color w:val="0D0D0D"/>
          <w:shd w:val="clear" w:color="auto" w:fill="FFFFFF"/>
        </w:rPr>
        <w:t>others</w:t>
      </w:r>
      <w:proofErr w:type="gramEnd"/>
      <w:r w:rsidRPr="00E65D24">
        <w:rPr>
          <w:color w:val="0D0D0D"/>
          <w:shd w:val="clear" w:color="auto" w:fill="FFFFFF"/>
        </w:rPr>
        <w:t xml:space="preserve"> countries, SATRC countries have also overseen transition from traditional circuit based network to IP based </w:t>
      </w:r>
      <w:r w:rsidR="00303CF9">
        <w:rPr>
          <w:color w:val="0D0D0D"/>
          <w:shd w:val="clear" w:color="auto" w:fill="FFFFFF"/>
        </w:rPr>
        <w:t xml:space="preserve">network </w:t>
      </w:r>
      <w:r w:rsidR="00303CF9" w:rsidRPr="00E65D24">
        <w:rPr>
          <w:color w:val="0D0D0D"/>
          <w:shd w:val="clear" w:color="auto" w:fill="FFFFFF"/>
        </w:rPr>
        <w:t>in</w:t>
      </w:r>
      <w:r w:rsidRPr="00E65D24">
        <w:rPr>
          <w:color w:val="0D0D0D"/>
          <w:shd w:val="clear" w:color="auto" w:fill="FFFFFF"/>
        </w:rPr>
        <w:t xml:space="preserve"> the last decade. It has not only transformed the network topology and service delivery, but also the method of price regulation. This is specially creating new tariff setting methodologies to balance among, but not limited to, decreasing ARPU, increasing investment requirement, maintaining competition, auctioning spectrum, tax policy etc. This work item aims at analyzing the change in the tariff setting methods in the SATRC countries, </w:t>
      </w:r>
      <w:r w:rsidR="0094612C">
        <w:rPr>
          <w:color w:val="0D0D0D"/>
          <w:shd w:val="clear" w:color="auto" w:fill="FFFFFF"/>
        </w:rPr>
        <w:t>e</w:t>
      </w:r>
      <w:r w:rsidRPr="00E65D24">
        <w:rPr>
          <w:color w:val="0D0D0D"/>
          <w:shd w:val="clear" w:color="auto" w:fill="FFFFFF"/>
        </w:rPr>
        <w:t xml:space="preserve">specially it will focus </w:t>
      </w:r>
      <w:proofErr w:type="gramStart"/>
      <w:r w:rsidRPr="00E65D24">
        <w:rPr>
          <w:color w:val="0D0D0D"/>
          <w:shd w:val="clear" w:color="auto" w:fill="FFFFFF"/>
        </w:rPr>
        <w:t>in</w:t>
      </w:r>
      <w:proofErr w:type="gramEnd"/>
      <w:r w:rsidRPr="00E65D24">
        <w:rPr>
          <w:color w:val="0D0D0D"/>
          <w:shd w:val="clear" w:color="auto" w:fill="FFFFFF"/>
        </w:rPr>
        <w:t xml:space="preserve"> the shifting strategy of the regulators in addressing the convergence of network and service as well as how they are balancing among different conflicting factors. </w:t>
      </w:r>
    </w:p>
    <w:p w14:paraId="3993D920" w14:textId="77777777" w:rsidR="00992F8B" w:rsidRPr="00E65D24" w:rsidRDefault="00992F8B" w:rsidP="00992F8B">
      <w:pPr>
        <w:rPr>
          <w:color w:val="0D0D0D"/>
          <w:shd w:val="clear" w:color="auto" w:fill="FFFFFF"/>
        </w:rPr>
      </w:pPr>
    </w:p>
    <w:p w14:paraId="77FD8314" w14:textId="48FE8E47" w:rsidR="00992F8B" w:rsidRDefault="00992F8B" w:rsidP="00303CF9">
      <w:pPr>
        <w:pStyle w:val="ListParagraph"/>
        <w:numPr>
          <w:ilvl w:val="0"/>
          <w:numId w:val="9"/>
        </w:numPr>
        <w:jc w:val="both"/>
      </w:pPr>
      <w:r w:rsidRPr="00E65D24">
        <w:t>Which regulatory bodies oversee telecom tariff</w:t>
      </w:r>
      <w:r w:rsidR="00477995">
        <w:t>s</w:t>
      </w:r>
      <w:r w:rsidRPr="00E65D24">
        <w:t xml:space="preserve"> in your country?</w:t>
      </w:r>
    </w:p>
    <w:p w14:paraId="7C604C41" w14:textId="40FCE67C" w:rsidR="006654E4" w:rsidRPr="00E65D24" w:rsidRDefault="006654E4" w:rsidP="00303CF9">
      <w:pPr>
        <w:pStyle w:val="ListParagraph"/>
        <w:numPr>
          <w:ilvl w:val="0"/>
          <w:numId w:val="9"/>
        </w:numPr>
        <w:jc w:val="both"/>
      </w:pPr>
      <w:r>
        <w:t>How many Significant Market Power (SMP) operators are there in your country?</w:t>
      </w:r>
    </w:p>
    <w:p w14:paraId="539A8A07" w14:textId="039BAB26" w:rsidR="00992F8B" w:rsidRPr="00E65D24" w:rsidRDefault="00303CF9" w:rsidP="00992F8B">
      <w:pPr>
        <w:rPr>
          <w:b/>
          <w:bCs/>
        </w:rPr>
      </w:pPr>
      <w:r>
        <w:rPr>
          <w:b/>
          <w:bCs/>
        </w:rPr>
        <w:t xml:space="preserve">      </w:t>
      </w:r>
      <w:r w:rsidR="00992F8B" w:rsidRPr="00E65D24">
        <w:rPr>
          <w:b/>
          <w:bCs/>
        </w:rPr>
        <w:t>Tariff Regulation Factors</w:t>
      </w:r>
    </w:p>
    <w:p w14:paraId="12EFC4D5" w14:textId="2EF54E35" w:rsidR="006654E4" w:rsidRDefault="00992F8B" w:rsidP="00821DBE">
      <w:pPr>
        <w:pStyle w:val="ListParagraph"/>
        <w:numPr>
          <w:ilvl w:val="0"/>
          <w:numId w:val="9"/>
        </w:numPr>
        <w:jc w:val="both"/>
      </w:pPr>
      <w:r w:rsidRPr="00E65D24">
        <w:t xml:space="preserve"> </w:t>
      </w:r>
      <w:r w:rsidR="006654E4">
        <w:t xml:space="preserve">Whether tariffs are set by the operator or regulator? </w:t>
      </w:r>
      <w:r w:rsidRPr="00E65D24">
        <w:t xml:space="preserve">Are there specific laws or regulations governing the </w:t>
      </w:r>
      <w:r w:rsidR="00477995">
        <w:t>tariffs</w:t>
      </w:r>
      <w:r w:rsidRPr="00E65D24">
        <w:t xml:space="preserve"> of telecom   services in your country? </w:t>
      </w:r>
    </w:p>
    <w:p w14:paraId="352D7F1D" w14:textId="6F50A114" w:rsidR="00992F8B" w:rsidRPr="00E65D24" w:rsidRDefault="00303CF9" w:rsidP="00992F8B">
      <w:r>
        <w:t xml:space="preserve">      </w:t>
      </w:r>
      <w:r w:rsidR="00821DBE">
        <w:t xml:space="preserve">4. </w:t>
      </w:r>
      <w:r w:rsidR="00992F8B" w:rsidRPr="00E65D24">
        <w:t>What factors are considered when setting</w:t>
      </w:r>
      <w:r w:rsidR="00821DBE">
        <w:t>/approving</w:t>
      </w:r>
      <w:r w:rsidR="00992F8B" w:rsidRPr="00E65D24">
        <w:t xml:space="preserve"> telecom tariffs in your country?</w:t>
      </w:r>
    </w:p>
    <w:p w14:paraId="2D72542D" w14:textId="0D55DB65" w:rsidR="00992F8B" w:rsidRPr="00E65D24" w:rsidRDefault="00992F8B" w:rsidP="00992F8B">
      <w:r w:rsidRPr="00E65D24">
        <w:t xml:space="preserve">      a) C</w:t>
      </w:r>
      <w:r w:rsidR="00146C78">
        <w:t>apex/</w:t>
      </w:r>
      <w:proofErr w:type="spellStart"/>
      <w:r w:rsidR="00146C78">
        <w:t>Opex</w:t>
      </w:r>
      <w:proofErr w:type="spellEnd"/>
      <w:r w:rsidRPr="00E65D24">
        <w:t xml:space="preserve"> of infrastructure</w:t>
      </w:r>
    </w:p>
    <w:p w14:paraId="1614179E" w14:textId="77777777" w:rsidR="00992F8B" w:rsidRPr="00E65D24" w:rsidRDefault="00992F8B" w:rsidP="00992F8B">
      <w:r w:rsidRPr="00E65D24">
        <w:t xml:space="preserve">      b) Market competition</w:t>
      </w:r>
    </w:p>
    <w:p w14:paraId="1BDAD700" w14:textId="77777777" w:rsidR="00992F8B" w:rsidRPr="00E65D24" w:rsidRDefault="00992F8B" w:rsidP="00992F8B">
      <w:r w:rsidRPr="00E65D24">
        <w:t xml:space="preserve">      c) Consumer affordability</w:t>
      </w:r>
    </w:p>
    <w:p w14:paraId="3576E33B" w14:textId="37F4065C" w:rsidR="00992F8B" w:rsidRPr="00E65D24" w:rsidRDefault="00992F8B" w:rsidP="00992F8B">
      <w:r w:rsidRPr="00E65D24">
        <w:t xml:space="preserve">      d) Regulatory objectives</w:t>
      </w:r>
      <w:r w:rsidR="00821DBE">
        <w:t xml:space="preserve"> </w:t>
      </w:r>
      <w:proofErr w:type="gramStart"/>
      <w:r w:rsidR="00821DBE">
        <w:t>( such</w:t>
      </w:r>
      <w:proofErr w:type="gramEnd"/>
      <w:r w:rsidR="00821DBE">
        <w:t xml:space="preserve"> as ensuring affordability)</w:t>
      </w:r>
    </w:p>
    <w:p w14:paraId="2CF82C2C" w14:textId="77777777" w:rsidR="00992F8B" w:rsidRPr="00E65D24" w:rsidRDefault="00992F8B" w:rsidP="00992F8B">
      <w:r w:rsidRPr="00E65D24">
        <w:t xml:space="preserve">      e) All of the above</w:t>
      </w:r>
    </w:p>
    <w:p w14:paraId="47C35060" w14:textId="5FDD1B64" w:rsidR="00992F8B" w:rsidRDefault="00992F8B" w:rsidP="00992F8B">
      <w:r w:rsidRPr="00E65D24">
        <w:t xml:space="preserve">      f) Any other factors</w:t>
      </w:r>
      <w:r w:rsidR="00146C78">
        <w:t xml:space="preserve">? Please mention. </w:t>
      </w:r>
    </w:p>
    <w:p w14:paraId="2AEF5C27" w14:textId="0000CEE6" w:rsidR="00992F8B" w:rsidRPr="00E65D24" w:rsidRDefault="00303CF9" w:rsidP="00992F8B">
      <w:pPr>
        <w:pStyle w:val="NormalWeb"/>
        <w:rPr>
          <w:b/>
          <w:bCs/>
        </w:rPr>
      </w:pPr>
      <w:r>
        <w:rPr>
          <w:b/>
          <w:bCs/>
        </w:rPr>
        <w:t xml:space="preserve">      </w:t>
      </w:r>
      <w:r w:rsidR="00992F8B" w:rsidRPr="00E65D24">
        <w:rPr>
          <w:b/>
          <w:bCs/>
        </w:rPr>
        <w:t>Tariff Regulation in a Converged Environment</w:t>
      </w:r>
    </w:p>
    <w:p w14:paraId="09D2E9FE" w14:textId="4A40BA4A" w:rsidR="00146C78" w:rsidRPr="00303CF9" w:rsidRDefault="00146C78" w:rsidP="00303CF9">
      <w:pPr>
        <w:pStyle w:val="NormalWeb"/>
        <w:ind w:left="360"/>
      </w:pPr>
      <w:r>
        <w:t>5</w:t>
      </w:r>
      <w:r w:rsidR="00992F8B" w:rsidRPr="00E65D24">
        <w:t xml:space="preserve">. Which </w:t>
      </w:r>
      <w:r>
        <w:t>approach is employed for</w:t>
      </w:r>
      <w:r w:rsidR="00992F8B" w:rsidRPr="00E65D24">
        <w:t xml:space="preserve"> regulating</w:t>
      </w:r>
      <w:r>
        <w:t>/approving</w:t>
      </w:r>
      <w:r w:rsidR="00992F8B" w:rsidRPr="00E65D24">
        <w:t xml:space="preserve"> tariffs in a converged environment (fixed-mobile, internet)</w:t>
      </w:r>
      <w:r>
        <w:t>?</w:t>
      </w:r>
    </w:p>
    <w:p w14:paraId="054BD5F0" w14:textId="5AA01489" w:rsidR="00992F8B" w:rsidRPr="00E65D24" w:rsidRDefault="00146C78" w:rsidP="00303CF9">
      <w:pPr>
        <w:pStyle w:val="NormalWeb"/>
        <w:ind w:left="360"/>
      </w:pPr>
      <w:r>
        <w:t>6</w:t>
      </w:r>
      <w:r w:rsidR="00992F8B" w:rsidRPr="00E65D24">
        <w:t xml:space="preserve">. Identify the three biggest challenges faced by your regulatory body </w:t>
      </w:r>
      <w:proofErr w:type="gramStart"/>
      <w:r w:rsidR="00992F8B" w:rsidRPr="00E65D24">
        <w:t xml:space="preserve">in </w:t>
      </w:r>
      <w:r w:rsidR="00303CF9">
        <w:t xml:space="preserve"> </w:t>
      </w:r>
      <w:r>
        <w:t>approving</w:t>
      </w:r>
      <w:proofErr w:type="gramEnd"/>
      <w:r>
        <w:t>/regulating</w:t>
      </w:r>
      <w:r w:rsidR="00992F8B" w:rsidRPr="00E65D24">
        <w:t xml:space="preserve"> tariffs for converged services (e.g., cost allocation across services, service differentiation</w:t>
      </w:r>
      <w:r>
        <w:t xml:space="preserve"> etc.</w:t>
      </w:r>
      <w:r w:rsidR="00992F8B" w:rsidRPr="00E65D24">
        <w:t>).</w:t>
      </w:r>
    </w:p>
    <w:p w14:paraId="495B1794" w14:textId="57068AFC" w:rsidR="00992F8B" w:rsidRPr="00E65D24" w:rsidRDefault="00146C78" w:rsidP="00303CF9">
      <w:pPr>
        <w:pStyle w:val="NormalWeb"/>
        <w:ind w:left="360"/>
      </w:pPr>
      <w:r>
        <w:t>7</w:t>
      </w:r>
      <w:r w:rsidR="00992F8B" w:rsidRPr="00E65D24">
        <w:t>. How has the decline in Average Revenue Per User (ARPU) impacted your approach to regulating</w:t>
      </w:r>
      <w:r w:rsidR="008355BB">
        <w:t>/approving</w:t>
      </w:r>
      <w:r w:rsidR="00992F8B" w:rsidRPr="00E65D24">
        <w:t xml:space="preserve"> tariffs for new and emerging services? </w:t>
      </w:r>
    </w:p>
    <w:p w14:paraId="46A455DE" w14:textId="77777777" w:rsidR="00992F8B" w:rsidRPr="00E65D24" w:rsidRDefault="00992F8B" w:rsidP="00992F8B">
      <w:pPr>
        <w:pStyle w:val="NormalWeb"/>
        <w:spacing w:before="0" w:beforeAutospacing="0" w:after="240" w:afterAutospacing="0"/>
        <w:ind w:left="720" w:hanging="360"/>
        <w:rPr>
          <w:b/>
          <w:bCs/>
        </w:rPr>
      </w:pPr>
      <w:r w:rsidRPr="00E65D24">
        <w:rPr>
          <w:b/>
          <w:bCs/>
        </w:rPr>
        <w:t xml:space="preserve">a) </w:t>
      </w:r>
      <w:r w:rsidRPr="00E65D24">
        <w:t>Increased focus on usage-based pricing models</w:t>
      </w:r>
      <w:r w:rsidRPr="00E65D24">
        <w:rPr>
          <w:b/>
          <w:bCs/>
        </w:rPr>
        <w:t xml:space="preserve"> </w:t>
      </w:r>
    </w:p>
    <w:p w14:paraId="297EFBF8" w14:textId="77777777" w:rsidR="00992F8B" w:rsidRPr="00E65D24" w:rsidRDefault="00992F8B" w:rsidP="00992F8B">
      <w:pPr>
        <w:pStyle w:val="NormalWeb"/>
        <w:spacing w:before="0" w:beforeAutospacing="0" w:after="240" w:afterAutospacing="0"/>
        <w:ind w:left="720" w:hanging="360"/>
        <w:rPr>
          <w:b/>
          <w:bCs/>
        </w:rPr>
      </w:pPr>
      <w:r w:rsidRPr="00E65D24">
        <w:rPr>
          <w:b/>
          <w:bCs/>
        </w:rPr>
        <w:t xml:space="preserve">b) </w:t>
      </w:r>
      <w:r w:rsidRPr="00E65D24">
        <w:t>Emphasis on promoting bundled services to boost ARPU</w:t>
      </w:r>
      <w:r w:rsidRPr="00E65D24">
        <w:rPr>
          <w:b/>
          <w:bCs/>
        </w:rPr>
        <w:t xml:space="preserve"> </w:t>
      </w:r>
    </w:p>
    <w:p w14:paraId="0795162A" w14:textId="77777777" w:rsidR="00992F8B" w:rsidRPr="00E65D24" w:rsidRDefault="00992F8B" w:rsidP="00992F8B">
      <w:pPr>
        <w:pStyle w:val="NormalWeb"/>
        <w:spacing w:before="0" w:beforeAutospacing="0" w:after="240" w:afterAutospacing="0"/>
        <w:ind w:left="720" w:hanging="360"/>
        <w:rPr>
          <w:b/>
          <w:bCs/>
        </w:rPr>
      </w:pPr>
      <w:r w:rsidRPr="00E65D24">
        <w:rPr>
          <w:b/>
          <w:bCs/>
        </w:rPr>
        <w:t xml:space="preserve">c) </w:t>
      </w:r>
      <w:r w:rsidRPr="00E65D24">
        <w:t>Relaxation of regulations to encourage innovation and competition</w:t>
      </w:r>
      <w:r w:rsidRPr="00E65D24">
        <w:rPr>
          <w:b/>
          <w:bCs/>
        </w:rPr>
        <w:t xml:space="preserve"> </w:t>
      </w:r>
    </w:p>
    <w:p w14:paraId="7D7FFE27" w14:textId="77777777" w:rsidR="00992F8B" w:rsidRDefault="00992F8B" w:rsidP="00992F8B">
      <w:pPr>
        <w:pStyle w:val="NormalWeb"/>
        <w:spacing w:before="0" w:beforeAutospacing="0" w:after="240" w:afterAutospacing="0"/>
        <w:ind w:left="720" w:hanging="360"/>
        <w:rPr>
          <w:b/>
          <w:bCs/>
        </w:rPr>
      </w:pPr>
      <w:r w:rsidRPr="00E65D24">
        <w:rPr>
          <w:b/>
          <w:bCs/>
        </w:rPr>
        <w:t xml:space="preserve">d) </w:t>
      </w:r>
      <w:r w:rsidRPr="00E65D24">
        <w:t>Implementation of minimum revenue guarantees for operators</w:t>
      </w:r>
      <w:r w:rsidRPr="00E65D24">
        <w:rPr>
          <w:b/>
          <w:bCs/>
        </w:rPr>
        <w:t xml:space="preserve"> </w:t>
      </w:r>
    </w:p>
    <w:p w14:paraId="7B0E943D" w14:textId="785523E8" w:rsidR="008355BB" w:rsidRPr="00303CF9" w:rsidRDefault="008355BB" w:rsidP="00992F8B">
      <w:pPr>
        <w:pStyle w:val="NormalWeb"/>
        <w:spacing w:before="0" w:beforeAutospacing="0" w:after="240" w:afterAutospacing="0"/>
        <w:ind w:left="720" w:hanging="360"/>
      </w:pPr>
      <w:r w:rsidRPr="00303CF9">
        <w:t xml:space="preserve">e) Any other? Please specify. </w:t>
      </w:r>
    </w:p>
    <w:p w14:paraId="32462783" w14:textId="0C9F799F" w:rsidR="00992F8B" w:rsidRPr="00E65D24" w:rsidRDefault="00303CF9" w:rsidP="00992F8B">
      <w:pPr>
        <w:rPr>
          <w:b/>
          <w:bCs/>
        </w:rPr>
      </w:pPr>
      <w:r>
        <w:rPr>
          <w:b/>
          <w:bCs/>
        </w:rPr>
        <w:t xml:space="preserve">     </w:t>
      </w:r>
      <w:r w:rsidR="00992F8B" w:rsidRPr="00E65D24">
        <w:rPr>
          <w:b/>
          <w:bCs/>
        </w:rPr>
        <w:t>Impact of IP Convergence on Tariffs</w:t>
      </w:r>
    </w:p>
    <w:p w14:paraId="4866A47B" w14:textId="1D278946" w:rsidR="00992F8B" w:rsidRPr="00E65D24" w:rsidRDefault="008355BB" w:rsidP="00303CF9">
      <w:pPr>
        <w:ind w:left="270"/>
      </w:pPr>
      <w:r>
        <w:t>8</w:t>
      </w:r>
      <w:r w:rsidR="00992F8B" w:rsidRPr="00E65D24">
        <w:t xml:space="preserve">. How has the transition from circuit-switched to IP-based </w:t>
      </w:r>
      <w:r>
        <w:t>network</w:t>
      </w:r>
      <w:r w:rsidR="00992F8B" w:rsidRPr="00E65D24">
        <w:t xml:space="preserve"> influenced tariff regulation? </w:t>
      </w:r>
    </w:p>
    <w:p w14:paraId="24C0DEFF" w14:textId="77777777" w:rsidR="00992F8B" w:rsidRPr="00E65D24" w:rsidRDefault="00992F8B" w:rsidP="00992F8B">
      <w:pPr>
        <w:ind w:firstLine="270"/>
      </w:pPr>
      <w:r w:rsidRPr="00E65D24">
        <w:lastRenderedPageBreak/>
        <w:t xml:space="preserve">a) Reduced operational costs </w:t>
      </w:r>
    </w:p>
    <w:p w14:paraId="1637AE16" w14:textId="77777777" w:rsidR="00992F8B" w:rsidRPr="00E65D24" w:rsidRDefault="00992F8B" w:rsidP="00992F8B">
      <w:pPr>
        <w:ind w:firstLine="270"/>
      </w:pPr>
      <w:r w:rsidRPr="00E65D24">
        <w:t xml:space="preserve">b) Enhanced service offerings </w:t>
      </w:r>
    </w:p>
    <w:p w14:paraId="711E4679" w14:textId="77777777" w:rsidR="00992F8B" w:rsidRPr="00E65D24" w:rsidRDefault="00992F8B" w:rsidP="00992F8B">
      <w:pPr>
        <w:ind w:firstLine="270"/>
      </w:pPr>
      <w:r w:rsidRPr="00E65D24">
        <w:t xml:space="preserve">c) Shift in pricing models </w:t>
      </w:r>
    </w:p>
    <w:p w14:paraId="318290E9" w14:textId="77777777" w:rsidR="00992F8B" w:rsidRPr="00E65D24" w:rsidRDefault="00992F8B" w:rsidP="00992F8B">
      <w:pPr>
        <w:ind w:firstLine="270"/>
      </w:pPr>
      <w:r w:rsidRPr="00E65D24">
        <w:t xml:space="preserve">d) All of the above </w:t>
      </w:r>
    </w:p>
    <w:p w14:paraId="78FE0558" w14:textId="77777777" w:rsidR="00992F8B" w:rsidRPr="00E65D24" w:rsidRDefault="00992F8B" w:rsidP="00992F8B">
      <w:pPr>
        <w:ind w:firstLine="270"/>
      </w:pPr>
      <w:r w:rsidRPr="00E65D24">
        <w:t>e) No significant impact</w:t>
      </w:r>
    </w:p>
    <w:p w14:paraId="442004D8" w14:textId="2F6FD101" w:rsidR="00992F8B" w:rsidRPr="00E65D24" w:rsidRDefault="008355BB" w:rsidP="00303CF9">
      <w:pPr>
        <w:ind w:left="270"/>
      </w:pPr>
      <w:r>
        <w:t>9</w:t>
      </w:r>
      <w:r w:rsidR="00992F8B" w:rsidRPr="00E65D24">
        <w:t xml:space="preserve">. How has the transition to IP-based network impacted the pricing of traditional voice call services (fixed and mobile)? </w:t>
      </w:r>
    </w:p>
    <w:p w14:paraId="1B66A052" w14:textId="77777777" w:rsidR="00992F8B" w:rsidRPr="00303CF9" w:rsidRDefault="00992F8B" w:rsidP="00992F8B">
      <w:pPr>
        <w:pStyle w:val="NormalWeb"/>
        <w:spacing w:before="0" w:beforeAutospacing="0" w:after="240" w:afterAutospacing="0"/>
        <w:ind w:firstLine="360"/>
      </w:pPr>
      <w:r w:rsidRPr="00303CF9">
        <w:t xml:space="preserve">a) </w:t>
      </w:r>
      <w:r w:rsidRPr="00303CF9">
        <w:rPr>
          <w:rStyle w:val="Strong"/>
          <w:b w:val="0"/>
          <w:bCs w:val="0"/>
        </w:rPr>
        <w:t>Significant decrease in voice call tariffs due to lower network costs</w:t>
      </w:r>
      <w:r w:rsidRPr="00303CF9">
        <w:t xml:space="preserve"> </w:t>
      </w:r>
    </w:p>
    <w:p w14:paraId="4B213910" w14:textId="77777777" w:rsidR="00992F8B" w:rsidRPr="00303CF9" w:rsidRDefault="00992F8B" w:rsidP="00992F8B">
      <w:pPr>
        <w:pStyle w:val="NormalWeb"/>
        <w:spacing w:before="0" w:beforeAutospacing="0" w:after="240" w:afterAutospacing="0"/>
        <w:ind w:firstLine="360"/>
      </w:pPr>
      <w:r w:rsidRPr="00303CF9">
        <w:t xml:space="preserve">b) </w:t>
      </w:r>
      <w:r w:rsidRPr="00303CF9">
        <w:rPr>
          <w:rStyle w:val="Strong"/>
          <w:b w:val="0"/>
          <w:bCs w:val="0"/>
        </w:rPr>
        <w:t>Shift towards bundled voice and data plans at flat rates</w:t>
      </w:r>
      <w:r w:rsidRPr="00303CF9">
        <w:t xml:space="preserve"> </w:t>
      </w:r>
    </w:p>
    <w:p w14:paraId="5496FB65" w14:textId="77777777" w:rsidR="00992F8B" w:rsidRPr="00303CF9" w:rsidRDefault="00992F8B" w:rsidP="00992F8B">
      <w:pPr>
        <w:pStyle w:val="NormalWeb"/>
        <w:spacing w:before="0" w:beforeAutospacing="0" w:after="240" w:afterAutospacing="0"/>
        <w:ind w:firstLine="360"/>
      </w:pPr>
      <w:r w:rsidRPr="00303CF9">
        <w:t xml:space="preserve">c) </w:t>
      </w:r>
      <w:r w:rsidRPr="00303CF9">
        <w:rPr>
          <w:rStyle w:val="Strong"/>
          <w:b w:val="0"/>
          <w:bCs w:val="0"/>
        </w:rPr>
        <w:t>Increased focus on premium voice features for additional revenue</w:t>
      </w:r>
      <w:r w:rsidRPr="00303CF9">
        <w:t xml:space="preserve"> </w:t>
      </w:r>
    </w:p>
    <w:p w14:paraId="3F3730B3" w14:textId="77777777" w:rsidR="00992F8B" w:rsidRPr="00303CF9" w:rsidRDefault="00992F8B" w:rsidP="00992F8B">
      <w:pPr>
        <w:pStyle w:val="NormalWeb"/>
        <w:spacing w:before="0" w:beforeAutospacing="0" w:after="240" w:afterAutospacing="0"/>
        <w:ind w:firstLine="360"/>
        <w:rPr>
          <w:rStyle w:val="Strong"/>
          <w:b w:val="0"/>
          <w:bCs w:val="0"/>
        </w:rPr>
      </w:pPr>
      <w:r w:rsidRPr="00303CF9">
        <w:t xml:space="preserve">d) </w:t>
      </w:r>
      <w:r w:rsidRPr="00303CF9">
        <w:rPr>
          <w:rStyle w:val="Strong"/>
          <w:b w:val="0"/>
          <w:bCs w:val="0"/>
        </w:rPr>
        <w:t>Limited impact with voice tariffs remaining relatively stable</w:t>
      </w:r>
    </w:p>
    <w:p w14:paraId="44C3ABEF" w14:textId="23472CE7" w:rsidR="0075253A" w:rsidRPr="00303CF9" w:rsidRDefault="0075253A" w:rsidP="00992F8B">
      <w:pPr>
        <w:pStyle w:val="NormalWeb"/>
        <w:spacing w:before="0" w:beforeAutospacing="0" w:after="240" w:afterAutospacing="0"/>
        <w:ind w:firstLine="360"/>
      </w:pPr>
      <w:r w:rsidRPr="00303CF9">
        <w:rPr>
          <w:rStyle w:val="Strong"/>
          <w:b w:val="0"/>
          <w:bCs w:val="0"/>
        </w:rPr>
        <w:t xml:space="preserve">e) Any other? Please specify. </w:t>
      </w:r>
    </w:p>
    <w:p w14:paraId="43542928" w14:textId="6FB1EEFF" w:rsidR="00992F8B" w:rsidRPr="00E65D24" w:rsidRDefault="008355BB" w:rsidP="00303CF9">
      <w:pPr>
        <w:ind w:left="360"/>
      </w:pPr>
      <w:r>
        <w:t>10</w:t>
      </w:r>
      <w:r w:rsidR="00992F8B" w:rsidRPr="00E65D24">
        <w:t>. Explain how the transition to IP-based networks and the growing demand for mobile data usage have impacted data pricing structures in your country.</w:t>
      </w:r>
    </w:p>
    <w:p w14:paraId="0EBBAD1D" w14:textId="390D1C3A" w:rsidR="00992F8B" w:rsidRPr="00E65D24" w:rsidRDefault="00992F8B" w:rsidP="00303CF9">
      <w:pPr>
        <w:pStyle w:val="NormalWeb"/>
        <w:ind w:left="360"/>
      </w:pPr>
      <w:r w:rsidRPr="00E65D24">
        <w:t>1</w:t>
      </w:r>
      <w:r w:rsidR="008355BB">
        <w:t>1</w:t>
      </w:r>
      <w:r w:rsidRPr="00E65D24">
        <w:t xml:space="preserve">.  How has the growth of Over-The-Top (OTT) service providers (e.g., Skype, </w:t>
      </w:r>
      <w:r w:rsidR="0075253A">
        <w:t>WhatsApp, WeChat etc.</w:t>
      </w:r>
      <w:r w:rsidRPr="00E65D24">
        <w:t>) impacted the traditional telecom revenue model and your approach to regulating</w:t>
      </w:r>
      <w:r w:rsidR="0075253A">
        <w:t>/approving</w:t>
      </w:r>
      <w:r w:rsidRPr="00E65D24">
        <w:t xml:space="preserve"> tariffs? </w:t>
      </w:r>
    </w:p>
    <w:p w14:paraId="50ECF33F" w14:textId="77777777" w:rsidR="00992F8B" w:rsidRPr="00303CF9" w:rsidRDefault="00992F8B" w:rsidP="00992F8B">
      <w:pPr>
        <w:pStyle w:val="NormalWeb"/>
        <w:numPr>
          <w:ilvl w:val="0"/>
          <w:numId w:val="8"/>
        </w:numPr>
        <w:rPr>
          <w:b/>
          <w:bCs/>
        </w:rPr>
      </w:pPr>
      <w:r w:rsidRPr="00303CF9">
        <w:rPr>
          <w:rStyle w:val="Strong"/>
          <w:b w:val="0"/>
          <w:bCs w:val="0"/>
        </w:rPr>
        <w:t>Significant impact on traditional voice and data revenue streams</w:t>
      </w:r>
      <w:r w:rsidRPr="00303CF9">
        <w:rPr>
          <w:b/>
          <w:bCs/>
        </w:rPr>
        <w:t xml:space="preserve"> </w:t>
      </w:r>
    </w:p>
    <w:p w14:paraId="2D3C9D31" w14:textId="77777777" w:rsidR="00992F8B" w:rsidRPr="00303CF9" w:rsidRDefault="00992F8B" w:rsidP="00992F8B">
      <w:pPr>
        <w:pStyle w:val="NormalWeb"/>
        <w:numPr>
          <w:ilvl w:val="0"/>
          <w:numId w:val="8"/>
        </w:numPr>
        <w:rPr>
          <w:b/>
          <w:bCs/>
        </w:rPr>
      </w:pPr>
      <w:r w:rsidRPr="00303CF9">
        <w:rPr>
          <w:rStyle w:val="Strong"/>
          <w:b w:val="0"/>
          <w:bCs w:val="0"/>
        </w:rPr>
        <w:t xml:space="preserve">Limited impact with OTT services complementing telecom </w:t>
      </w:r>
      <w:proofErr w:type="gramStart"/>
      <w:r w:rsidRPr="00303CF9">
        <w:rPr>
          <w:rStyle w:val="Strong"/>
          <w:b w:val="0"/>
          <w:bCs w:val="0"/>
        </w:rPr>
        <w:t>offerings</w:t>
      </w:r>
      <w:proofErr w:type="gramEnd"/>
      <w:r w:rsidRPr="00303CF9">
        <w:rPr>
          <w:b/>
          <w:bCs/>
        </w:rPr>
        <w:t xml:space="preserve"> </w:t>
      </w:r>
    </w:p>
    <w:p w14:paraId="09672A75" w14:textId="77777777" w:rsidR="00992F8B" w:rsidRPr="00303CF9" w:rsidRDefault="00992F8B" w:rsidP="00992F8B">
      <w:pPr>
        <w:pStyle w:val="NormalWeb"/>
        <w:numPr>
          <w:ilvl w:val="0"/>
          <w:numId w:val="8"/>
        </w:numPr>
        <w:rPr>
          <w:rStyle w:val="Strong"/>
          <w:b w:val="0"/>
          <w:bCs w:val="0"/>
        </w:rPr>
      </w:pPr>
      <w:r w:rsidRPr="00303CF9">
        <w:rPr>
          <w:rStyle w:val="Strong"/>
          <w:b w:val="0"/>
          <w:bCs w:val="0"/>
        </w:rPr>
        <w:t xml:space="preserve">Exploring regulatory options for OTT services to ensure a level playing </w:t>
      </w:r>
      <w:proofErr w:type="gramStart"/>
      <w:r w:rsidRPr="00303CF9">
        <w:rPr>
          <w:rStyle w:val="Strong"/>
          <w:b w:val="0"/>
          <w:bCs w:val="0"/>
        </w:rPr>
        <w:t>field</w:t>
      </w:r>
      <w:proofErr w:type="gramEnd"/>
    </w:p>
    <w:p w14:paraId="3E76285E" w14:textId="141B5A05" w:rsidR="00FC2A07" w:rsidRDefault="00FC2A07" w:rsidP="00303CF9">
      <w:pPr>
        <w:spacing w:line="420" w:lineRule="atLeast"/>
        <w:ind w:left="360"/>
      </w:pPr>
      <w:r>
        <w:t>12. How d</w:t>
      </w:r>
      <w:r w:rsidRPr="0057789D">
        <w:t>oes your regulatory framework differentiate tariffs for fixed</w:t>
      </w:r>
      <w:r>
        <w:t xml:space="preserve"> and</w:t>
      </w:r>
      <w:r w:rsidRPr="0057789D">
        <w:t xml:space="preserve"> mobile</w:t>
      </w:r>
      <w:r w:rsidR="009C5D75">
        <w:t xml:space="preserve"> </w:t>
      </w:r>
      <w:r w:rsidRPr="0057789D">
        <w:t xml:space="preserve">services? </w:t>
      </w:r>
      <w:r>
        <w:t xml:space="preserve">Please provide examples. </w:t>
      </w:r>
      <w:r w:rsidRPr="0057789D">
        <w:t>If so, how? (e.g., tiered pricing based on usage or speed)</w:t>
      </w:r>
    </w:p>
    <w:p w14:paraId="55D4932F" w14:textId="77777777" w:rsidR="00992F8B" w:rsidRDefault="00992F8B" w:rsidP="00992F8B">
      <w:pPr>
        <w:rPr>
          <w:rFonts w:eastAsia="Times New Roman"/>
          <w:b/>
          <w:bCs/>
          <w:color w:val="1F1F1F"/>
          <w:bdr w:val="none" w:sz="0" w:space="0" w:color="auto" w:frame="1"/>
          <w:lang w:bidi="bn-IN"/>
        </w:rPr>
      </w:pPr>
    </w:p>
    <w:p w14:paraId="571F5341" w14:textId="77777777" w:rsidR="00992F8B" w:rsidRPr="00303CF9" w:rsidRDefault="00992F8B" w:rsidP="00303CF9">
      <w:pPr>
        <w:ind w:firstLine="360"/>
        <w:rPr>
          <w:rStyle w:val="Strong"/>
          <w:b w:val="0"/>
          <w:bCs w:val="0"/>
        </w:rPr>
      </w:pPr>
      <w:r w:rsidRPr="00303CF9">
        <w:rPr>
          <w:rFonts w:eastAsia="Times New Roman"/>
          <w:b/>
          <w:bCs/>
          <w:color w:val="1F1F1F"/>
          <w:bdr w:val="none" w:sz="0" w:space="0" w:color="auto" w:frame="1"/>
          <w:lang w:bidi="bn-IN"/>
        </w:rPr>
        <w:t>Spectrum Management and Pricing</w:t>
      </w:r>
    </w:p>
    <w:p w14:paraId="4A2D3B0B" w14:textId="1FBE727D" w:rsidR="00992F8B" w:rsidRPr="00303CF9" w:rsidRDefault="00992F8B" w:rsidP="00303CF9">
      <w:pPr>
        <w:ind w:left="360"/>
        <w:rPr>
          <w:rStyle w:val="Strong"/>
          <w:rFonts w:eastAsia="Times New Roman"/>
          <w:b w:val="0"/>
          <w:bCs w:val="0"/>
          <w:lang w:bidi="bn-IN"/>
        </w:rPr>
      </w:pPr>
      <w:r w:rsidRPr="00303CF9">
        <w:rPr>
          <w:rStyle w:val="Strong"/>
          <w:rFonts w:eastAsia="Times New Roman"/>
          <w:b w:val="0"/>
          <w:bCs w:val="0"/>
          <w:lang w:bidi="bn-IN"/>
        </w:rPr>
        <w:t>1</w:t>
      </w:r>
      <w:r w:rsidR="00403383" w:rsidRPr="00303CF9">
        <w:rPr>
          <w:rStyle w:val="Strong"/>
          <w:rFonts w:eastAsia="Times New Roman"/>
          <w:b w:val="0"/>
          <w:bCs w:val="0"/>
          <w:lang w:bidi="bn-IN"/>
        </w:rPr>
        <w:t>3</w:t>
      </w:r>
      <w:r w:rsidRPr="00303CF9">
        <w:rPr>
          <w:rStyle w:val="Strong"/>
          <w:rFonts w:eastAsia="Times New Roman"/>
          <w:b w:val="0"/>
          <w:bCs w:val="0"/>
          <w:lang w:bidi="bn-IN"/>
        </w:rPr>
        <w:t xml:space="preserve">. How do spectrum license fees or auction outcomes </w:t>
      </w:r>
      <w:proofErr w:type="gramStart"/>
      <w:r w:rsidR="0075253A" w:rsidRPr="00303CF9">
        <w:rPr>
          <w:rStyle w:val="Strong"/>
          <w:rFonts w:eastAsia="Times New Roman"/>
          <w:b w:val="0"/>
          <w:bCs w:val="0"/>
          <w:lang w:bidi="bn-IN"/>
        </w:rPr>
        <w:t>impact</w:t>
      </w:r>
      <w:r w:rsidRPr="00303CF9">
        <w:rPr>
          <w:rStyle w:val="Strong"/>
          <w:rFonts w:eastAsia="Times New Roman"/>
          <w:b w:val="0"/>
          <w:bCs w:val="0"/>
          <w:lang w:bidi="bn-IN"/>
        </w:rPr>
        <w:t xml:space="preserve">  the</w:t>
      </w:r>
      <w:proofErr w:type="gramEnd"/>
      <w:r w:rsidRPr="00303CF9">
        <w:rPr>
          <w:rStyle w:val="Strong"/>
          <w:rFonts w:eastAsia="Times New Roman"/>
          <w:b w:val="0"/>
          <w:bCs w:val="0"/>
          <w:lang w:bidi="bn-IN"/>
        </w:rPr>
        <w:t xml:space="preserve"> overall cost structure considered for tariff </w:t>
      </w:r>
      <w:r w:rsidR="002E1D40" w:rsidRPr="00303CF9">
        <w:rPr>
          <w:rStyle w:val="Strong"/>
          <w:rFonts w:eastAsia="Times New Roman"/>
          <w:b w:val="0"/>
          <w:bCs w:val="0"/>
          <w:lang w:bidi="bn-IN"/>
        </w:rPr>
        <w:t xml:space="preserve"> regulating/approving/</w:t>
      </w:r>
      <w:r w:rsidRPr="00303CF9">
        <w:rPr>
          <w:rStyle w:val="Strong"/>
          <w:rFonts w:eastAsia="Times New Roman"/>
          <w:b w:val="0"/>
          <w:bCs w:val="0"/>
          <w:lang w:bidi="bn-IN"/>
        </w:rPr>
        <w:t>setting?</w:t>
      </w:r>
    </w:p>
    <w:p w14:paraId="443EE0E6" w14:textId="4F8136B6" w:rsidR="00992F8B" w:rsidRPr="00E65D24" w:rsidRDefault="00992F8B" w:rsidP="00303CF9">
      <w:pPr>
        <w:ind w:firstLine="360"/>
      </w:pPr>
      <w:r w:rsidRPr="00E65D24">
        <w:rPr>
          <w:rStyle w:val="Strong"/>
        </w:rPr>
        <w:t xml:space="preserve">Taxation  </w:t>
      </w:r>
      <w:r w:rsidRPr="00E65D24">
        <w:t xml:space="preserve"> </w:t>
      </w:r>
    </w:p>
    <w:p w14:paraId="4BB1AD85" w14:textId="13391454" w:rsidR="002E1D40" w:rsidRDefault="002E1D40" w:rsidP="00992F8B"/>
    <w:p w14:paraId="3B46B178" w14:textId="5F7630C9" w:rsidR="00992F8B" w:rsidRDefault="002E1D40" w:rsidP="00303CF9">
      <w:pPr>
        <w:ind w:left="360"/>
      </w:pPr>
      <w:r>
        <w:t>1</w:t>
      </w:r>
      <w:r w:rsidR="00403383">
        <w:t>4</w:t>
      </w:r>
      <w:r>
        <w:t xml:space="preserve">. What is applicable tax regime in your country? </w:t>
      </w:r>
      <w:r w:rsidR="00992F8B" w:rsidRPr="00E65D24">
        <w:t>Explain how tax policies (e.g., VAT, GST) affect the final tariff paid by consumers for telecom services</w:t>
      </w:r>
      <w:r>
        <w:t>.</w:t>
      </w:r>
    </w:p>
    <w:p w14:paraId="320A929E" w14:textId="0A02554A" w:rsidR="00992F8B" w:rsidRDefault="002F4537" w:rsidP="00303CF9">
      <w:pPr>
        <w:ind w:firstLine="360"/>
      </w:pPr>
      <w:r>
        <w:t>1</w:t>
      </w:r>
      <w:r w:rsidR="00403383">
        <w:t>5</w:t>
      </w:r>
      <w:r>
        <w:t xml:space="preserve">. </w:t>
      </w:r>
      <w:r w:rsidR="009C5D75">
        <w:t>Does your tax regime differentiate taxes for voice and data services?</w:t>
      </w:r>
    </w:p>
    <w:p w14:paraId="038F8BD1" w14:textId="5C504B87" w:rsidR="00992F8B" w:rsidRPr="00E65D24" w:rsidRDefault="00303CF9" w:rsidP="00992F8B">
      <w:pPr>
        <w:pStyle w:val="NormalWeb"/>
        <w:tabs>
          <w:tab w:val="left" w:pos="90"/>
        </w:tabs>
      </w:pPr>
      <w:r>
        <w:rPr>
          <w:b/>
          <w:bCs/>
          <w:color w:val="1F1F1F"/>
          <w:bdr w:val="none" w:sz="0" w:space="0" w:color="auto" w:frame="1"/>
        </w:rPr>
        <w:tab/>
        <w:t xml:space="preserve">      </w:t>
      </w:r>
      <w:r w:rsidR="00992F8B" w:rsidRPr="009322D1">
        <w:rPr>
          <w:b/>
          <w:bCs/>
          <w:color w:val="1F1F1F"/>
          <w:bdr w:val="none" w:sz="0" w:space="0" w:color="auto" w:frame="1"/>
        </w:rPr>
        <w:t xml:space="preserve">Future Recommendation </w:t>
      </w:r>
    </w:p>
    <w:p w14:paraId="34F3812E" w14:textId="6A1C4276" w:rsidR="00992F8B" w:rsidRPr="00E65D24" w:rsidRDefault="00403383" w:rsidP="00303CF9">
      <w:pPr>
        <w:ind w:left="420"/>
        <w:jc w:val="both"/>
      </w:pPr>
      <w:r>
        <w:t>16</w:t>
      </w:r>
      <w:r w:rsidR="00992F8B" w:rsidRPr="003E7B40">
        <w:t xml:space="preserve">. </w:t>
      </w:r>
      <w:r w:rsidR="00F80C38">
        <w:t xml:space="preserve">Do you have any </w:t>
      </w:r>
      <w:r w:rsidR="00992F8B" w:rsidRPr="003E7B40">
        <w:t xml:space="preserve">recommend to address the tariff implications </w:t>
      </w:r>
      <w:proofErr w:type="gramStart"/>
      <w:r w:rsidR="00992F8B" w:rsidRPr="003E7B40">
        <w:t>of</w:t>
      </w:r>
      <w:r w:rsidR="00034831">
        <w:t xml:space="preserve">  convergence</w:t>
      </w:r>
      <w:proofErr w:type="gramEnd"/>
      <w:r w:rsidR="00034831">
        <w:t xml:space="preserve"> and emerging services</w:t>
      </w:r>
      <w:r w:rsidR="00992F8B" w:rsidRPr="003E7B40">
        <w:t>?</w:t>
      </w:r>
    </w:p>
    <w:p w14:paraId="5641A180" w14:textId="77777777" w:rsidR="00503B95" w:rsidRDefault="00503B95" w:rsidP="00992F8B">
      <w:pPr>
        <w:tabs>
          <w:tab w:val="left" w:pos="567"/>
        </w:tabs>
        <w:spacing w:line="360" w:lineRule="auto"/>
        <w:jc w:val="both"/>
      </w:pPr>
    </w:p>
    <w:sectPr w:rsidR="00503B95" w:rsidSect="00012422">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A98B8A" w14:textId="77777777" w:rsidR="00905C6A" w:rsidRDefault="00905C6A">
      <w:r>
        <w:separator/>
      </w:r>
    </w:p>
  </w:endnote>
  <w:endnote w:type="continuationSeparator" w:id="0">
    <w:p w14:paraId="72342BB0" w14:textId="77777777" w:rsidR="00905C6A" w:rsidRDefault="00905C6A">
      <w:r>
        <w:continuationSeparator/>
      </w:r>
    </w:p>
  </w:endnote>
  <w:endnote w:type="continuationNotice" w:id="1">
    <w:p w14:paraId="1499D6B9" w14:textId="77777777" w:rsidR="00905C6A" w:rsidRDefault="00905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1A189" w14:textId="77777777" w:rsidR="00C517E5" w:rsidRDefault="00CD39CA" w:rsidP="002C07DA">
    <w:pPr>
      <w:pStyle w:val="Footer"/>
      <w:framePr w:wrap="around" w:vAnchor="text" w:hAnchor="margin" w:xAlign="right" w:y="1"/>
      <w:rPr>
        <w:rStyle w:val="PageNumber"/>
      </w:rPr>
    </w:pPr>
    <w:r>
      <w:rPr>
        <w:rStyle w:val="PageNumber"/>
      </w:rPr>
      <w:fldChar w:fldCharType="begin"/>
    </w:r>
    <w:r w:rsidR="00503B95">
      <w:rPr>
        <w:rStyle w:val="PageNumber"/>
      </w:rPr>
      <w:instrText xml:space="preserve">PAGE  </w:instrText>
    </w:r>
    <w:r>
      <w:rPr>
        <w:rStyle w:val="PageNumber"/>
      </w:rPr>
      <w:fldChar w:fldCharType="end"/>
    </w:r>
  </w:p>
  <w:p w14:paraId="5641A18A" w14:textId="77777777" w:rsidR="00C517E5" w:rsidRDefault="00C517E5"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1A18B" w14:textId="57E74858" w:rsidR="00C517E5" w:rsidRDefault="00F941EF" w:rsidP="003771CA">
    <w:pPr>
      <w:pStyle w:val="Footer"/>
      <w:ind w:right="360"/>
      <w:rPr>
        <w:rStyle w:val="PageNumber"/>
      </w:rPr>
    </w:pPr>
    <w:r w:rsidRPr="009F5536">
      <w:t>S</w:t>
    </w:r>
    <w:r>
      <w:t>AP</w:t>
    </w:r>
    <w:r w:rsidR="000706E8">
      <w:t>IX</w:t>
    </w:r>
    <w:r>
      <w:t>-</w:t>
    </w:r>
    <w:r w:rsidR="006E32B9">
      <w:t>PRS</w:t>
    </w:r>
    <w:r>
      <w:t>1/</w:t>
    </w:r>
    <w:r w:rsidR="00803FC0">
      <w:t>OUT</w:t>
    </w:r>
    <w:r>
      <w:t>-</w:t>
    </w:r>
    <w:r w:rsidR="00106A10">
      <w:t>0</w:t>
    </w:r>
    <w:r w:rsidR="00803FC0">
      <w:t>6</w:t>
    </w:r>
    <w:r>
      <w:rPr>
        <w:rStyle w:val="PageNumber"/>
      </w:rPr>
      <w:tab/>
    </w:r>
    <w:r>
      <w:rPr>
        <w:rStyle w:val="PageNumber"/>
      </w:rPr>
      <w:tab/>
    </w:r>
    <w:r w:rsidRPr="002C7EA9">
      <w:rPr>
        <w:rStyle w:val="PageNumber"/>
      </w:rPr>
      <w:t xml:space="preserve">Page </w:t>
    </w:r>
    <w:r w:rsidR="00CD39CA" w:rsidRPr="002C7EA9">
      <w:rPr>
        <w:rStyle w:val="PageNumber"/>
      </w:rPr>
      <w:fldChar w:fldCharType="begin"/>
    </w:r>
    <w:r w:rsidRPr="002C7EA9">
      <w:rPr>
        <w:rStyle w:val="PageNumber"/>
      </w:rPr>
      <w:instrText xml:space="preserve"> PAGE </w:instrText>
    </w:r>
    <w:r w:rsidR="00CD39CA" w:rsidRPr="002C7EA9">
      <w:rPr>
        <w:rStyle w:val="PageNumber"/>
      </w:rPr>
      <w:fldChar w:fldCharType="separate"/>
    </w:r>
    <w:r w:rsidR="00B50314">
      <w:rPr>
        <w:rStyle w:val="PageNumber"/>
        <w:noProof/>
      </w:rPr>
      <w:t>4</w:t>
    </w:r>
    <w:r w:rsidR="00CD39CA" w:rsidRPr="002C7EA9">
      <w:rPr>
        <w:rStyle w:val="PageNumber"/>
      </w:rPr>
      <w:fldChar w:fldCharType="end"/>
    </w:r>
    <w:r w:rsidRPr="002C7EA9">
      <w:rPr>
        <w:rStyle w:val="PageNumber"/>
      </w:rPr>
      <w:t xml:space="preserve"> of </w:t>
    </w:r>
    <w:r w:rsidR="00CD39CA" w:rsidRPr="002C7EA9">
      <w:rPr>
        <w:rStyle w:val="PageNumber"/>
      </w:rPr>
      <w:fldChar w:fldCharType="begin"/>
    </w:r>
    <w:r w:rsidRPr="002C7EA9">
      <w:rPr>
        <w:rStyle w:val="PageNumber"/>
      </w:rPr>
      <w:instrText xml:space="preserve"> NUMPAGES </w:instrText>
    </w:r>
    <w:r w:rsidR="00CD39CA" w:rsidRPr="002C7EA9">
      <w:rPr>
        <w:rStyle w:val="PageNumber"/>
      </w:rPr>
      <w:fldChar w:fldCharType="separate"/>
    </w:r>
    <w:r w:rsidR="00B50314">
      <w:rPr>
        <w:rStyle w:val="PageNumber"/>
        <w:noProof/>
      </w:rPr>
      <w:t>4</w:t>
    </w:r>
    <w:r w:rsidR="00CD39CA"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4068"/>
      <w:gridCol w:w="3996"/>
    </w:tblGrid>
    <w:tr w:rsidR="00D06B88" w:rsidRPr="008F189A" w14:paraId="5641A18F" w14:textId="77777777" w:rsidTr="00212987">
      <w:trPr>
        <w:cantSplit/>
        <w:trHeight w:val="204"/>
        <w:jc w:val="center"/>
      </w:trPr>
      <w:tc>
        <w:tcPr>
          <w:tcW w:w="1152" w:type="dxa"/>
        </w:tcPr>
        <w:p w14:paraId="5641A18C" w14:textId="77777777" w:rsidR="00D06B88" w:rsidRPr="008F189A" w:rsidRDefault="00D06B88" w:rsidP="00D06B88">
          <w:pPr>
            <w:rPr>
              <w:b/>
              <w:bCs/>
            </w:rPr>
          </w:pPr>
          <w:r w:rsidRPr="008F189A">
            <w:rPr>
              <w:b/>
              <w:bCs/>
            </w:rPr>
            <w:t>Contact:</w:t>
          </w:r>
        </w:p>
      </w:tc>
      <w:tc>
        <w:tcPr>
          <w:tcW w:w="4068" w:type="dxa"/>
        </w:tcPr>
        <w:p w14:paraId="5641A18D" w14:textId="2C068B2D" w:rsidR="00D06B88" w:rsidRPr="008F189A" w:rsidRDefault="008E67D0" w:rsidP="00D06B88">
          <w:pPr>
            <w:overflowPunct w:val="0"/>
            <w:autoSpaceDE w:val="0"/>
            <w:autoSpaceDN w:val="0"/>
            <w:adjustRightInd w:val="0"/>
            <w:spacing w:line="240" w:lineRule="atLeast"/>
            <w:textAlignment w:val="baseline"/>
            <w:rPr>
              <w:rFonts w:eastAsia="Batang"/>
              <w:lang w:val="en-GB"/>
            </w:rPr>
          </w:pPr>
          <w:r>
            <w:rPr>
              <w:rFonts w:eastAsia="Batang"/>
              <w:lang w:val="en-GB"/>
            </w:rPr>
            <w:t>M</w:t>
          </w:r>
          <w:r w:rsidR="009455E2">
            <w:rPr>
              <w:rFonts w:eastAsia="Batang"/>
              <w:lang w:val="en-GB"/>
            </w:rPr>
            <w:t>r. Mohammad Farhan Alam</w:t>
          </w:r>
        </w:p>
      </w:tc>
      <w:tc>
        <w:tcPr>
          <w:tcW w:w="3996" w:type="dxa"/>
        </w:tcPr>
        <w:p w14:paraId="5F30C9C3" w14:textId="3E597B6C" w:rsidR="00883984" w:rsidRDefault="00D06B88" w:rsidP="00AF7F80">
          <w:r w:rsidRPr="00F941EF">
            <w:rPr>
              <w:b/>
              <w:bCs/>
            </w:rPr>
            <w:t>Email</w:t>
          </w:r>
          <w:r w:rsidRPr="00F941EF">
            <w:rPr>
              <w:rFonts w:hint="eastAsia"/>
              <w:b/>
              <w:bCs/>
            </w:rPr>
            <w:t>:</w:t>
          </w:r>
          <w:r w:rsidR="006E32B9">
            <w:t xml:space="preserve"> </w:t>
          </w:r>
          <w:hyperlink r:id="rId1" w:history="1">
            <w:r w:rsidR="00840E35" w:rsidRPr="00EF47A2">
              <w:rPr>
                <w:rStyle w:val="Hyperlink"/>
              </w:rPr>
              <w:t>farhan@btrc.gov.bd</w:t>
            </w:r>
          </w:hyperlink>
          <w:r w:rsidR="00883984">
            <w:rPr>
              <w:lang w:eastAsia="ja-JP"/>
            </w:rPr>
            <w:t xml:space="preserve">       </w:t>
          </w:r>
        </w:p>
        <w:p w14:paraId="5641A18E" w14:textId="5CB97C7B" w:rsidR="00883984" w:rsidRPr="008F189A" w:rsidRDefault="00883984" w:rsidP="00AF7F80">
          <w:pPr>
            <w:rPr>
              <w:lang w:eastAsia="ja-JP"/>
            </w:rPr>
          </w:pPr>
        </w:p>
      </w:tc>
    </w:tr>
  </w:tbl>
  <w:p w14:paraId="5641A190" w14:textId="77777777" w:rsidR="00C517E5" w:rsidRPr="008F189A" w:rsidRDefault="00C517E5" w:rsidP="008F1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0572A3" w14:textId="77777777" w:rsidR="00905C6A" w:rsidRDefault="00905C6A">
      <w:r>
        <w:separator/>
      </w:r>
    </w:p>
  </w:footnote>
  <w:footnote w:type="continuationSeparator" w:id="0">
    <w:p w14:paraId="0F8CC8B8" w14:textId="77777777" w:rsidR="00905C6A" w:rsidRDefault="00905C6A">
      <w:r>
        <w:continuationSeparator/>
      </w:r>
    </w:p>
  </w:footnote>
  <w:footnote w:type="continuationNotice" w:id="1">
    <w:p w14:paraId="51A881F1" w14:textId="77777777" w:rsidR="00905C6A" w:rsidRDefault="00905C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1A187" w14:textId="77777777" w:rsidR="00C517E5" w:rsidRDefault="00503B95" w:rsidP="00C15633">
    <w:pPr>
      <w:pStyle w:val="Header"/>
      <w:tabs>
        <w:tab w:val="center" w:pos="4763"/>
        <w:tab w:val="left" w:pos="5820"/>
      </w:tabs>
      <w:rPr>
        <w:lang w:eastAsia="ko-KR"/>
      </w:rPr>
    </w:pPr>
    <w:r>
      <w:rPr>
        <w:lang w:eastAsia="ko-KR"/>
      </w:rPr>
      <w:tab/>
    </w:r>
  </w:p>
  <w:p w14:paraId="5641A188" w14:textId="77777777" w:rsidR="00C517E5" w:rsidRDefault="00C517E5"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A67D5"/>
    <w:multiLevelType w:val="hybridMultilevel"/>
    <w:tmpl w:val="2F4000F8"/>
    <w:lvl w:ilvl="0" w:tplc="04090019">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800"/>
        </w:tabs>
        <w:ind w:left="800" w:hanging="400"/>
      </w:pPr>
      <w:rPr>
        <w:rFonts w:ascii="Symbol" w:hAnsi="Symbol" w:hint="default"/>
      </w:rPr>
    </w:lvl>
    <w:lvl w:ilvl="2" w:tplc="04090001">
      <w:start w:val="1"/>
      <w:numFmt w:val="bullet"/>
      <w:lvlText w:val=""/>
      <w:lvlJc w:val="left"/>
      <w:pPr>
        <w:tabs>
          <w:tab w:val="num" w:pos="1200"/>
        </w:tabs>
        <w:ind w:left="1200" w:hanging="40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DC67B3"/>
    <w:multiLevelType w:val="hybridMultilevel"/>
    <w:tmpl w:val="05FAC64C"/>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BE03E03"/>
    <w:multiLevelType w:val="hybridMultilevel"/>
    <w:tmpl w:val="45AE9552"/>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FA56F1A"/>
    <w:multiLevelType w:val="hybridMultilevel"/>
    <w:tmpl w:val="2F86961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86E96"/>
    <w:multiLevelType w:val="hybridMultilevel"/>
    <w:tmpl w:val="AC0E05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A571C7"/>
    <w:multiLevelType w:val="hybridMultilevel"/>
    <w:tmpl w:val="9C4A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F1229"/>
    <w:multiLevelType w:val="hybridMultilevel"/>
    <w:tmpl w:val="E9CA6C86"/>
    <w:lvl w:ilvl="0" w:tplc="E54E8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D01207"/>
    <w:multiLevelType w:val="hybridMultilevel"/>
    <w:tmpl w:val="E6AC12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FE33467"/>
    <w:multiLevelType w:val="hybridMultilevel"/>
    <w:tmpl w:val="39CE06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85448140">
    <w:abstractNumId w:val="0"/>
  </w:num>
  <w:num w:numId="2" w16cid:durableId="1654604191">
    <w:abstractNumId w:val="7"/>
  </w:num>
  <w:num w:numId="3" w16cid:durableId="1278100565">
    <w:abstractNumId w:val="1"/>
  </w:num>
  <w:num w:numId="4" w16cid:durableId="855584753">
    <w:abstractNumId w:val="2"/>
  </w:num>
  <w:num w:numId="5" w16cid:durableId="1202015891">
    <w:abstractNumId w:val="8"/>
  </w:num>
  <w:num w:numId="6" w16cid:durableId="1081558074">
    <w:abstractNumId w:val="4"/>
  </w:num>
  <w:num w:numId="7" w16cid:durableId="170337764">
    <w:abstractNumId w:val="6"/>
  </w:num>
  <w:num w:numId="8" w16cid:durableId="706292476">
    <w:abstractNumId w:val="3"/>
  </w:num>
  <w:num w:numId="9" w16cid:durableId="11610432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03B95"/>
    <w:rsid w:val="00007A96"/>
    <w:rsid w:val="00012422"/>
    <w:rsid w:val="00034831"/>
    <w:rsid w:val="00052CC1"/>
    <w:rsid w:val="000706E8"/>
    <w:rsid w:val="000A0C4B"/>
    <w:rsid w:val="000B253D"/>
    <w:rsid w:val="000C652F"/>
    <w:rsid w:val="000D31E1"/>
    <w:rsid w:val="00106A10"/>
    <w:rsid w:val="0011761C"/>
    <w:rsid w:val="00146C78"/>
    <w:rsid w:val="00155F5A"/>
    <w:rsid w:val="00165C97"/>
    <w:rsid w:val="00166F0E"/>
    <w:rsid w:val="00173FFA"/>
    <w:rsid w:val="00174AA6"/>
    <w:rsid w:val="001811E0"/>
    <w:rsid w:val="001C1ED6"/>
    <w:rsid w:val="001D48CC"/>
    <w:rsid w:val="001E0B7A"/>
    <w:rsid w:val="001F361E"/>
    <w:rsid w:val="002054CC"/>
    <w:rsid w:val="00251AF7"/>
    <w:rsid w:val="002647DD"/>
    <w:rsid w:val="00290B47"/>
    <w:rsid w:val="002E1D40"/>
    <w:rsid w:val="002F4537"/>
    <w:rsid w:val="00303CF9"/>
    <w:rsid w:val="003243F3"/>
    <w:rsid w:val="0032473F"/>
    <w:rsid w:val="00325745"/>
    <w:rsid w:val="00346084"/>
    <w:rsid w:val="00355FDD"/>
    <w:rsid w:val="003D5714"/>
    <w:rsid w:val="003F4F14"/>
    <w:rsid w:val="00403383"/>
    <w:rsid w:val="00477995"/>
    <w:rsid w:val="004A3580"/>
    <w:rsid w:val="004F1DE0"/>
    <w:rsid w:val="00503B95"/>
    <w:rsid w:val="00540915"/>
    <w:rsid w:val="00542475"/>
    <w:rsid w:val="00561139"/>
    <w:rsid w:val="00591CB6"/>
    <w:rsid w:val="005E0987"/>
    <w:rsid w:val="00605D2E"/>
    <w:rsid w:val="0061197B"/>
    <w:rsid w:val="00616122"/>
    <w:rsid w:val="00627729"/>
    <w:rsid w:val="00631A9D"/>
    <w:rsid w:val="00634B69"/>
    <w:rsid w:val="00647202"/>
    <w:rsid w:val="0065648E"/>
    <w:rsid w:val="006654E4"/>
    <w:rsid w:val="00671B2E"/>
    <w:rsid w:val="006941BD"/>
    <w:rsid w:val="006A6EA2"/>
    <w:rsid w:val="006C1730"/>
    <w:rsid w:val="006E32B9"/>
    <w:rsid w:val="006E6AE6"/>
    <w:rsid w:val="006F6301"/>
    <w:rsid w:val="006F63E3"/>
    <w:rsid w:val="0071096C"/>
    <w:rsid w:val="0071768B"/>
    <w:rsid w:val="0075253A"/>
    <w:rsid w:val="007620C7"/>
    <w:rsid w:val="00766D32"/>
    <w:rsid w:val="007A68F6"/>
    <w:rsid w:val="007A7C80"/>
    <w:rsid w:val="007B2BB8"/>
    <w:rsid w:val="007C4860"/>
    <w:rsid w:val="00803FC0"/>
    <w:rsid w:val="00821DBE"/>
    <w:rsid w:val="00824FA9"/>
    <w:rsid w:val="008355BB"/>
    <w:rsid w:val="00840E35"/>
    <w:rsid w:val="008469AA"/>
    <w:rsid w:val="00861C6C"/>
    <w:rsid w:val="00883932"/>
    <w:rsid w:val="00883984"/>
    <w:rsid w:val="008E67D0"/>
    <w:rsid w:val="009011AB"/>
    <w:rsid w:val="00905C6A"/>
    <w:rsid w:val="0091117F"/>
    <w:rsid w:val="00935133"/>
    <w:rsid w:val="00941F66"/>
    <w:rsid w:val="00942778"/>
    <w:rsid w:val="009455E2"/>
    <w:rsid w:val="0094612C"/>
    <w:rsid w:val="00955D94"/>
    <w:rsid w:val="009738DE"/>
    <w:rsid w:val="00975412"/>
    <w:rsid w:val="00992F8B"/>
    <w:rsid w:val="009B3D94"/>
    <w:rsid w:val="009C0F44"/>
    <w:rsid w:val="009C5D75"/>
    <w:rsid w:val="009D2B01"/>
    <w:rsid w:val="009D5F70"/>
    <w:rsid w:val="009F7B07"/>
    <w:rsid w:val="00A20DD9"/>
    <w:rsid w:val="00A218DF"/>
    <w:rsid w:val="00A4552E"/>
    <w:rsid w:val="00A86D80"/>
    <w:rsid w:val="00AA0734"/>
    <w:rsid w:val="00AC5F79"/>
    <w:rsid w:val="00AE15C5"/>
    <w:rsid w:val="00AF7F80"/>
    <w:rsid w:val="00B06E19"/>
    <w:rsid w:val="00B06F10"/>
    <w:rsid w:val="00B30997"/>
    <w:rsid w:val="00B412C5"/>
    <w:rsid w:val="00B50314"/>
    <w:rsid w:val="00BB72B1"/>
    <w:rsid w:val="00BF5A4C"/>
    <w:rsid w:val="00C517E5"/>
    <w:rsid w:val="00C51CA3"/>
    <w:rsid w:val="00C7423B"/>
    <w:rsid w:val="00C838A4"/>
    <w:rsid w:val="00CA546E"/>
    <w:rsid w:val="00CD39CA"/>
    <w:rsid w:val="00CD67A2"/>
    <w:rsid w:val="00D06B88"/>
    <w:rsid w:val="00D4317B"/>
    <w:rsid w:val="00D70688"/>
    <w:rsid w:val="00DC002E"/>
    <w:rsid w:val="00DE3C5A"/>
    <w:rsid w:val="00DF51A0"/>
    <w:rsid w:val="00E348A2"/>
    <w:rsid w:val="00E62365"/>
    <w:rsid w:val="00E802A4"/>
    <w:rsid w:val="00E838DA"/>
    <w:rsid w:val="00EB45EE"/>
    <w:rsid w:val="00ED3A52"/>
    <w:rsid w:val="00EE6765"/>
    <w:rsid w:val="00F324CA"/>
    <w:rsid w:val="00F80C38"/>
    <w:rsid w:val="00F87FC4"/>
    <w:rsid w:val="00F941EF"/>
    <w:rsid w:val="00FA2A56"/>
    <w:rsid w:val="00FC2A07"/>
    <w:rsid w:val="00FE6EDD"/>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1A106"/>
  <w15:docId w15:val="{E163AE8F-A600-49E9-A1A1-D8F0F586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B95"/>
    <w:pPr>
      <w:spacing w:after="0" w:line="240" w:lineRule="auto"/>
    </w:pPr>
    <w:rPr>
      <w:rFonts w:ascii="Times New Roman" w:eastAsia="BatangChe"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3B95"/>
    <w:pPr>
      <w:tabs>
        <w:tab w:val="center" w:pos="4320"/>
        <w:tab w:val="right" w:pos="8640"/>
      </w:tabs>
    </w:pPr>
  </w:style>
  <w:style w:type="character" w:customStyle="1" w:styleId="FooterChar">
    <w:name w:val="Footer Char"/>
    <w:basedOn w:val="DefaultParagraphFont"/>
    <w:link w:val="Footer"/>
    <w:uiPriority w:val="99"/>
    <w:rsid w:val="00503B95"/>
    <w:rPr>
      <w:rFonts w:ascii="Times New Roman" w:eastAsia="BatangChe" w:hAnsi="Times New Roman" w:cs="Times New Roman"/>
      <w:sz w:val="24"/>
      <w:szCs w:val="24"/>
    </w:rPr>
  </w:style>
  <w:style w:type="character" w:styleId="PageNumber">
    <w:name w:val="page number"/>
    <w:basedOn w:val="DefaultParagraphFont"/>
    <w:rsid w:val="00503B95"/>
  </w:style>
  <w:style w:type="paragraph" w:styleId="Header">
    <w:name w:val="header"/>
    <w:basedOn w:val="Normal"/>
    <w:link w:val="HeaderChar"/>
    <w:rsid w:val="00503B95"/>
    <w:pPr>
      <w:tabs>
        <w:tab w:val="center" w:pos="4320"/>
        <w:tab w:val="right" w:pos="8640"/>
      </w:tabs>
    </w:pPr>
  </w:style>
  <w:style w:type="character" w:customStyle="1" w:styleId="HeaderChar">
    <w:name w:val="Header Char"/>
    <w:basedOn w:val="DefaultParagraphFont"/>
    <w:link w:val="Header"/>
    <w:rsid w:val="00503B95"/>
    <w:rPr>
      <w:rFonts w:ascii="Times New Roman" w:eastAsia="BatangChe" w:hAnsi="Times New Roman" w:cs="Times New Roman"/>
      <w:sz w:val="24"/>
      <w:szCs w:val="24"/>
    </w:rPr>
  </w:style>
  <w:style w:type="paragraph" w:styleId="ListParagraph">
    <w:name w:val="List Paragraph"/>
    <w:aliases w:val="List Paragraph (numbered (a)),Bullet List,FooterText,List with no spacing,HEAD 3,Bullets,Dot pt,F5 List Paragraph,List Paragraph1,No Spacing1,List Paragraph Char Char Char,Indicator Text,Numbered Para 1,Bullet 1,List Paragraph12"/>
    <w:basedOn w:val="Normal"/>
    <w:link w:val="ListParagraphChar"/>
    <w:uiPriority w:val="34"/>
    <w:qFormat/>
    <w:rsid w:val="00503B95"/>
    <w:pPr>
      <w:autoSpaceDE w:val="0"/>
      <w:autoSpaceDN w:val="0"/>
      <w:ind w:left="720"/>
    </w:pPr>
    <w:rPr>
      <w:rFonts w:eastAsia="MS Mincho"/>
      <w:szCs w:val="20"/>
      <w:lang w:eastAsia="ja-JP"/>
    </w:rPr>
  </w:style>
  <w:style w:type="character" w:customStyle="1" w:styleId="ListParagraphChar">
    <w:name w:val="List Paragraph Char"/>
    <w:aliases w:val="List Paragraph (numbered (a)) Char,Bullet List Char,FooterText Char,List with no spacing Char,HEAD 3 Char,Bullets Char,Dot pt Char,F5 List Paragraph Char,List Paragraph1 Char,No Spacing1 Char,List Paragraph Char Char Char Char"/>
    <w:basedOn w:val="DefaultParagraphFont"/>
    <w:link w:val="ListParagraph"/>
    <w:uiPriority w:val="34"/>
    <w:qFormat/>
    <w:locked/>
    <w:rsid w:val="00503B95"/>
    <w:rPr>
      <w:rFonts w:ascii="Times New Roman" w:eastAsia="MS Mincho" w:hAnsi="Times New Roman" w:cs="Times New Roman"/>
      <w:sz w:val="24"/>
      <w:szCs w:val="20"/>
      <w:lang w:eastAsia="ja-JP"/>
    </w:rPr>
  </w:style>
  <w:style w:type="paragraph" w:styleId="Revision">
    <w:name w:val="Revision"/>
    <w:hidden/>
    <w:uiPriority w:val="99"/>
    <w:semiHidden/>
    <w:rsid w:val="00EE6765"/>
    <w:pPr>
      <w:spacing w:after="0" w:line="240" w:lineRule="auto"/>
    </w:pPr>
    <w:rPr>
      <w:rFonts w:ascii="Times New Roman" w:eastAsia="BatangChe" w:hAnsi="Times New Roman" w:cs="Times New Roman"/>
      <w:sz w:val="24"/>
      <w:szCs w:val="24"/>
    </w:rPr>
  </w:style>
  <w:style w:type="character" w:styleId="CommentReference">
    <w:name w:val="annotation reference"/>
    <w:basedOn w:val="DefaultParagraphFont"/>
    <w:uiPriority w:val="99"/>
    <w:semiHidden/>
    <w:unhideWhenUsed/>
    <w:rsid w:val="00627729"/>
    <w:rPr>
      <w:sz w:val="16"/>
      <w:szCs w:val="16"/>
    </w:rPr>
  </w:style>
  <w:style w:type="paragraph" w:styleId="CommentText">
    <w:name w:val="annotation text"/>
    <w:basedOn w:val="Normal"/>
    <w:link w:val="CommentTextChar"/>
    <w:uiPriority w:val="99"/>
    <w:semiHidden/>
    <w:unhideWhenUsed/>
    <w:rsid w:val="00627729"/>
    <w:rPr>
      <w:sz w:val="20"/>
      <w:szCs w:val="20"/>
    </w:rPr>
  </w:style>
  <w:style w:type="character" w:customStyle="1" w:styleId="CommentTextChar">
    <w:name w:val="Comment Text Char"/>
    <w:basedOn w:val="DefaultParagraphFont"/>
    <w:link w:val="CommentText"/>
    <w:uiPriority w:val="99"/>
    <w:semiHidden/>
    <w:rsid w:val="00627729"/>
    <w:rPr>
      <w:rFonts w:ascii="Times New Roman" w:eastAsia="BatangChe"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7729"/>
    <w:rPr>
      <w:b/>
      <w:bCs/>
    </w:rPr>
  </w:style>
  <w:style w:type="character" w:customStyle="1" w:styleId="CommentSubjectChar">
    <w:name w:val="Comment Subject Char"/>
    <w:basedOn w:val="CommentTextChar"/>
    <w:link w:val="CommentSubject"/>
    <w:uiPriority w:val="99"/>
    <w:semiHidden/>
    <w:rsid w:val="00627729"/>
    <w:rPr>
      <w:rFonts w:ascii="Times New Roman" w:eastAsia="BatangChe" w:hAnsi="Times New Roman" w:cs="Times New Roman"/>
      <w:b/>
      <w:bCs/>
      <w:sz w:val="20"/>
      <w:szCs w:val="20"/>
    </w:rPr>
  </w:style>
  <w:style w:type="character" w:styleId="Hyperlink">
    <w:name w:val="Hyperlink"/>
    <w:basedOn w:val="DefaultParagraphFont"/>
    <w:uiPriority w:val="99"/>
    <w:unhideWhenUsed/>
    <w:rsid w:val="00F941EF"/>
    <w:rPr>
      <w:color w:val="0563C1" w:themeColor="hyperlink"/>
      <w:u w:val="single"/>
    </w:rPr>
  </w:style>
  <w:style w:type="character" w:customStyle="1" w:styleId="UnresolvedMention1">
    <w:name w:val="Unresolved Mention1"/>
    <w:basedOn w:val="DefaultParagraphFont"/>
    <w:uiPriority w:val="99"/>
    <w:semiHidden/>
    <w:unhideWhenUsed/>
    <w:rsid w:val="00F941EF"/>
    <w:rPr>
      <w:color w:val="605E5C"/>
      <w:shd w:val="clear" w:color="auto" w:fill="E1DFDD"/>
    </w:rPr>
  </w:style>
  <w:style w:type="paragraph" w:styleId="BalloonText">
    <w:name w:val="Balloon Text"/>
    <w:basedOn w:val="Normal"/>
    <w:link w:val="BalloonTextChar"/>
    <w:uiPriority w:val="99"/>
    <w:semiHidden/>
    <w:unhideWhenUsed/>
    <w:rsid w:val="000A0C4B"/>
    <w:rPr>
      <w:rFonts w:ascii="Tahoma" w:hAnsi="Tahoma" w:cs="Tahoma"/>
      <w:sz w:val="16"/>
      <w:szCs w:val="16"/>
    </w:rPr>
  </w:style>
  <w:style w:type="character" w:customStyle="1" w:styleId="BalloonTextChar">
    <w:name w:val="Balloon Text Char"/>
    <w:basedOn w:val="DefaultParagraphFont"/>
    <w:link w:val="BalloonText"/>
    <w:uiPriority w:val="99"/>
    <w:semiHidden/>
    <w:rsid w:val="000A0C4B"/>
    <w:rPr>
      <w:rFonts w:ascii="Tahoma" w:eastAsia="BatangChe" w:hAnsi="Tahoma" w:cs="Tahoma"/>
      <w:sz w:val="16"/>
      <w:szCs w:val="16"/>
    </w:rPr>
  </w:style>
  <w:style w:type="character" w:styleId="UnresolvedMention">
    <w:name w:val="Unresolved Mention"/>
    <w:basedOn w:val="DefaultParagraphFont"/>
    <w:uiPriority w:val="99"/>
    <w:semiHidden/>
    <w:unhideWhenUsed/>
    <w:rsid w:val="00883984"/>
    <w:rPr>
      <w:color w:val="605E5C"/>
      <w:shd w:val="clear" w:color="auto" w:fill="E1DFDD"/>
    </w:rPr>
  </w:style>
  <w:style w:type="paragraph" w:styleId="NormalWeb">
    <w:name w:val="Normal (Web)"/>
    <w:basedOn w:val="Normal"/>
    <w:uiPriority w:val="99"/>
    <w:unhideWhenUsed/>
    <w:rsid w:val="00992F8B"/>
    <w:pPr>
      <w:spacing w:before="100" w:beforeAutospacing="1" w:after="100" w:afterAutospacing="1"/>
    </w:pPr>
    <w:rPr>
      <w:rFonts w:eastAsia="Times New Roman"/>
      <w:lang w:bidi="bn-IN"/>
    </w:rPr>
  </w:style>
  <w:style w:type="character" w:styleId="Strong">
    <w:name w:val="Strong"/>
    <w:basedOn w:val="DefaultParagraphFont"/>
    <w:uiPriority w:val="22"/>
    <w:qFormat/>
    <w:rsid w:val="00992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095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farhan@btrc.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Nidup Gyeltshen</cp:lastModifiedBy>
  <cp:revision>75</cp:revision>
  <dcterms:created xsi:type="dcterms:W3CDTF">2022-05-25T08:03:00Z</dcterms:created>
  <dcterms:modified xsi:type="dcterms:W3CDTF">2024-05-19T07:43:00Z</dcterms:modified>
</cp:coreProperties>
</file>