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5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291"/>
      </w:tblGrid>
      <w:tr w:rsidR="00E433DA" w:rsidRPr="007128C1" w14:paraId="233CDA6B" w14:textId="77777777" w:rsidTr="000B5E71">
        <w:trPr>
          <w:cantSplit/>
          <w:trHeight w:val="288"/>
        </w:trPr>
        <w:tc>
          <w:tcPr>
            <w:tcW w:w="1399" w:type="dxa"/>
            <w:vMerge w:val="restart"/>
            <w:tcBorders>
              <w:top w:val="nil"/>
              <w:left w:val="nil"/>
              <w:bottom w:val="single" w:sz="4" w:space="0" w:color="auto"/>
              <w:right w:val="nil"/>
            </w:tcBorders>
            <w:hideMark/>
          </w:tcPr>
          <w:p w14:paraId="53B1E754" w14:textId="77777777" w:rsidR="00E433DA" w:rsidRPr="007128C1" w:rsidRDefault="00E433DA" w:rsidP="000B5E71">
            <w:pPr>
              <w:widowControl w:val="0"/>
              <w:tabs>
                <w:tab w:val="left" w:pos="720"/>
                <w:tab w:val="left" w:pos="1134"/>
                <w:tab w:val="left" w:pos="1871"/>
                <w:tab w:val="left" w:pos="2268"/>
              </w:tabs>
              <w:wordWrap w:val="0"/>
              <w:jc w:val="both"/>
              <w:rPr>
                <w:kern w:val="2"/>
                <w:lang w:eastAsia="ko-KR"/>
              </w:rPr>
            </w:pPr>
            <w:r w:rsidRPr="007128C1">
              <w:rPr>
                <w:noProof/>
                <w:kern w:val="2"/>
              </w:rPr>
              <w:drawing>
                <wp:inline distT="0" distB="0" distL="0" distR="0" wp14:anchorId="44B8E93C" wp14:editId="04D86D5B">
                  <wp:extent cx="762000" cy="717550"/>
                  <wp:effectExtent l="0" t="0" r="0" b="6350"/>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6B0455CF" w14:textId="77777777" w:rsidR="00E433DA" w:rsidRPr="007128C1" w:rsidRDefault="00E433DA" w:rsidP="000B5E71">
            <w:pPr>
              <w:spacing w:before="40"/>
              <w:rPr>
                <w:sz w:val="22"/>
              </w:rPr>
            </w:pPr>
            <w:r w:rsidRPr="007128C1">
              <w:rPr>
                <w:sz w:val="22"/>
              </w:rPr>
              <w:t>ASIA-PACIFIC TELECOMMUNITY</w:t>
            </w:r>
          </w:p>
        </w:tc>
        <w:tc>
          <w:tcPr>
            <w:tcW w:w="2291" w:type="dxa"/>
            <w:tcBorders>
              <w:top w:val="nil"/>
              <w:left w:val="nil"/>
              <w:bottom w:val="nil"/>
              <w:right w:val="nil"/>
            </w:tcBorders>
            <w:hideMark/>
          </w:tcPr>
          <w:p w14:paraId="205CCD4E" w14:textId="77777777" w:rsidR="00E433DA" w:rsidRPr="007128C1" w:rsidRDefault="00E433DA" w:rsidP="000B5E71">
            <w:pPr>
              <w:keepNext/>
              <w:widowControl w:val="0"/>
              <w:wordWrap w:val="0"/>
              <w:spacing w:before="40"/>
              <w:jc w:val="both"/>
              <w:outlineLvl w:val="7"/>
              <w:rPr>
                <w:b/>
                <w:bCs/>
                <w:kern w:val="2"/>
                <w:lang w:eastAsia="ko-KR"/>
              </w:rPr>
            </w:pPr>
            <w:r w:rsidRPr="007128C1">
              <w:rPr>
                <w:b/>
                <w:bCs/>
                <w:kern w:val="2"/>
                <w:lang w:eastAsia="ko-KR"/>
              </w:rPr>
              <w:t>Document No:</w:t>
            </w:r>
          </w:p>
        </w:tc>
      </w:tr>
      <w:tr w:rsidR="00E433DA" w:rsidRPr="007128C1" w14:paraId="75BE0E52" w14:textId="77777777" w:rsidTr="000B5E71">
        <w:trPr>
          <w:cantSplit/>
          <w:trHeight w:val="504"/>
        </w:trPr>
        <w:tc>
          <w:tcPr>
            <w:tcW w:w="1399" w:type="dxa"/>
            <w:vMerge/>
            <w:tcBorders>
              <w:top w:val="nil"/>
              <w:left w:val="nil"/>
              <w:bottom w:val="single" w:sz="4" w:space="0" w:color="auto"/>
              <w:right w:val="nil"/>
            </w:tcBorders>
            <w:vAlign w:val="center"/>
            <w:hideMark/>
          </w:tcPr>
          <w:p w14:paraId="7093ED5F" w14:textId="77777777" w:rsidR="00E433DA" w:rsidRPr="007128C1" w:rsidRDefault="00E433DA" w:rsidP="000B5E71">
            <w:pPr>
              <w:rPr>
                <w:kern w:val="2"/>
                <w:lang w:eastAsia="ko-KR"/>
              </w:rPr>
            </w:pPr>
          </w:p>
        </w:tc>
        <w:tc>
          <w:tcPr>
            <w:tcW w:w="5760" w:type="dxa"/>
            <w:tcBorders>
              <w:top w:val="nil"/>
              <w:left w:val="nil"/>
              <w:bottom w:val="nil"/>
              <w:right w:val="nil"/>
            </w:tcBorders>
            <w:vAlign w:val="center"/>
            <w:hideMark/>
          </w:tcPr>
          <w:p w14:paraId="76063FAF" w14:textId="10158D51" w:rsidR="00E433DA" w:rsidRPr="007128C1" w:rsidRDefault="00E433DA" w:rsidP="000B5E71">
            <w:pPr>
              <w:spacing w:before="40"/>
            </w:pPr>
            <w:r w:rsidRPr="007128C1">
              <w:rPr>
                <w:b/>
              </w:rPr>
              <w:t xml:space="preserve">The </w:t>
            </w:r>
            <w:r w:rsidR="00D43BE0">
              <w:rPr>
                <w:b/>
              </w:rPr>
              <w:t>Meeting of the SATRC Working Group on Policy, Regulation and Services</w:t>
            </w:r>
          </w:p>
        </w:tc>
        <w:tc>
          <w:tcPr>
            <w:tcW w:w="2291" w:type="dxa"/>
            <w:tcBorders>
              <w:top w:val="nil"/>
              <w:left w:val="nil"/>
              <w:bottom w:val="nil"/>
              <w:right w:val="nil"/>
            </w:tcBorders>
          </w:tcPr>
          <w:p w14:paraId="0FC438A7" w14:textId="1219BA7E" w:rsidR="00E433DA" w:rsidRPr="00E01AF8" w:rsidRDefault="00E433DA" w:rsidP="00E01AF8">
            <w:pPr>
              <w:spacing w:before="40"/>
              <w:rPr>
                <w:b/>
                <w:bCs/>
                <w:lang w:val="fr-FR"/>
              </w:rPr>
            </w:pPr>
            <w:r w:rsidRPr="007128C1">
              <w:rPr>
                <w:b/>
                <w:bCs/>
                <w:lang w:val="fr-FR"/>
              </w:rPr>
              <w:t>SA</w:t>
            </w:r>
            <w:r w:rsidR="00D43BE0">
              <w:rPr>
                <w:b/>
                <w:bCs/>
                <w:lang w:val="fr-FR"/>
              </w:rPr>
              <w:t>PIX</w:t>
            </w:r>
            <w:r w:rsidR="00E01AF8">
              <w:rPr>
                <w:b/>
                <w:bCs/>
                <w:lang w:val="fr-FR"/>
              </w:rPr>
              <w:t>-PRS1</w:t>
            </w:r>
            <w:r w:rsidRPr="007128C1">
              <w:rPr>
                <w:b/>
                <w:bCs/>
                <w:lang w:val="fr-FR"/>
              </w:rPr>
              <w:t>/</w:t>
            </w:r>
            <w:r w:rsidR="00A9734F">
              <w:rPr>
                <w:b/>
                <w:bCs/>
                <w:lang w:val="fr-FR"/>
              </w:rPr>
              <w:t>OUT</w:t>
            </w:r>
            <w:r w:rsidRPr="007128C1">
              <w:rPr>
                <w:b/>
                <w:bCs/>
                <w:lang w:val="fr-FR"/>
              </w:rPr>
              <w:t>-</w:t>
            </w:r>
            <w:r w:rsidR="00A9734F">
              <w:rPr>
                <w:b/>
                <w:bCs/>
                <w:lang w:val="fr-FR"/>
              </w:rPr>
              <w:t>01</w:t>
            </w:r>
          </w:p>
        </w:tc>
      </w:tr>
      <w:tr w:rsidR="000C1D60" w:rsidRPr="007128C1" w14:paraId="252983FB" w14:textId="77777777" w:rsidTr="00D275AF">
        <w:trPr>
          <w:cantSplit/>
          <w:trHeight w:val="288"/>
        </w:trPr>
        <w:tc>
          <w:tcPr>
            <w:tcW w:w="1399" w:type="dxa"/>
            <w:vMerge/>
            <w:tcBorders>
              <w:top w:val="nil"/>
              <w:left w:val="nil"/>
              <w:bottom w:val="single" w:sz="4" w:space="0" w:color="auto"/>
              <w:right w:val="nil"/>
            </w:tcBorders>
            <w:vAlign w:val="center"/>
            <w:hideMark/>
          </w:tcPr>
          <w:p w14:paraId="17384DB6" w14:textId="77777777" w:rsidR="000C1D60" w:rsidRPr="007128C1" w:rsidRDefault="000C1D60" w:rsidP="000C1D60">
            <w:pPr>
              <w:rPr>
                <w:kern w:val="2"/>
                <w:lang w:eastAsia="ko-KR"/>
              </w:rPr>
            </w:pPr>
          </w:p>
        </w:tc>
        <w:tc>
          <w:tcPr>
            <w:tcW w:w="5760" w:type="dxa"/>
            <w:tcBorders>
              <w:top w:val="nil"/>
              <w:left w:val="nil"/>
              <w:bottom w:val="single" w:sz="4" w:space="0" w:color="auto"/>
              <w:right w:val="nil"/>
            </w:tcBorders>
            <w:hideMark/>
          </w:tcPr>
          <w:p w14:paraId="660A0493" w14:textId="39D8B56A" w:rsidR="000C1D60" w:rsidRPr="007128C1" w:rsidRDefault="00D43BE0" w:rsidP="000C1D60">
            <w:pPr>
              <w:spacing w:before="40"/>
              <w:rPr>
                <w:b/>
              </w:rPr>
            </w:pPr>
            <w:r>
              <w:t>14</w:t>
            </w:r>
            <w:r w:rsidR="000C1D60" w:rsidRPr="00492E77">
              <w:t xml:space="preserve"> – </w:t>
            </w:r>
            <w:r>
              <w:t>16</w:t>
            </w:r>
            <w:r w:rsidR="000C1D60" w:rsidRPr="00492E77">
              <w:t xml:space="preserve"> </w:t>
            </w:r>
            <w:r>
              <w:t>May</w:t>
            </w:r>
            <w:r w:rsidR="000C1D60" w:rsidRPr="00492E77">
              <w:t xml:space="preserve"> 20</w:t>
            </w:r>
            <w:r w:rsidR="000C1D60">
              <w:t>2</w:t>
            </w:r>
            <w:r>
              <w:t>4</w:t>
            </w:r>
            <w:r w:rsidR="000C1D60" w:rsidRPr="00492E77">
              <w:t xml:space="preserve">, </w:t>
            </w:r>
            <w:r w:rsidRPr="00355E9F">
              <w:t>Islamabad</w:t>
            </w:r>
            <w:r w:rsidR="000C1D60" w:rsidRPr="00281077">
              <w:t>,</w:t>
            </w:r>
            <w:r w:rsidR="000C1D60">
              <w:t xml:space="preserve"> </w:t>
            </w:r>
            <w:r>
              <w:t>Pakistan</w:t>
            </w:r>
          </w:p>
        </w:tc>
        <w:tc>
          <w:tcPr>
            <w:tcW w:w="2291" w:type="dxa"/>
            <w:tcBorders>
              <w:top w:val="nil"/>
              <w:left w:val="nil"/>
              <w:bottom w:val="single" w:sz="4" w:space="0" w:color="auto"/>
              <w:right w:val="nil"/>
            </w:tcBorders>
            <w:vAlign w:val="bottom"/>
            <w:hideMark/>
          </w:tcPr>
          <w:p w14:paraId="295E63DB" w14:textId="22B676F4" w:rsidR="000C1D60" w:rsidRPr="007128C1" w:rsidRDefault="006A5AE6" w:rsidP="000C1D60">
            <w:pPr>
              <w:spacing w:before="40"/>
              <w:rPr>
                <w:bCs/>
              </w:rPr>
            </w:pPr>
            <w:r>
              <w:rPr>
                <w:bCs/>
              </w:rPr>
              <w:t>1</w:t>
            </w:r>
            <w:r w:rsidR="00A9734F">
              <w:rPr>
                <w:bCs/>
              </w:rPr>
              <w:t>6</w:t>
            </w:r>
            <w:r w:rsidR="000C1D60">
              <w:rPr>
                <w:bCs/>
              </w:rPr>
              <w:t xml:space="preserve"> </w:t>
            </w:r>
            <w:r w:rsidR="00FA0410">
              <w:rPr>
                <w:bCs/>
              </w:rPr>
              <w:t>May</w:t>
            </w:r>
            <w:r w:rsidR="0087478E">
              <w:rPr>
                <w:bCs/>
              </w:rPr>
              <w:t xml:space="preserve"> </w:t>
            </w:r>
            <w:r w:rsidR="000C1D60" w:rsidRPr="007128C1">
              <w:rPr>
                <w:bCs/>
              </w:rPr>
              <w:t>202</w:t>
            </w:r>
            <w:r w:rsidR="00E01AF8">
              <w:rPr>
                <w:bCs/>
              </w:rPr>
              <w:t>4</w:t>
            </w:r>
          </w:p>
        </w:tc>
      </w:tr>
    </w:tbl>
    <w:p w14:paraId="41F42550" w14:textId="77777777" w:rsidR="003F73E9" w:rsidRPr="003247FB" w:rsidRDefault="003F73E9" w:rsidP="00DA7595">
      <w:pPr>
        <w:rPr>
          <w:lang w:eastAsia="ko-KR"/>
        </w:rPr>
      </w:pPr>
    </w:p>
    <w:p w14:paraId="4E48491A" w14:textId="77777777" w:rsidR="003F73E9" w:rsidRPr="003247FB" w:rsidRDefault="003F73E9" w:rsidP="00DA7595">
      <w:pPr>
        <w:rPr>
          <w:lang w:eastAsia="ko-KR"/>
        </w:rPr>
      </w:pPr>
    </w:p>
    <w:p w14:paraId="777A585C" w14:textId="6C324464" w:rsidR="00DB0A68" w:rsidRPr="007E2625" w:rsidRDefault="00D43BE0" w:rsidP="00D43BE0">
      <w:pPr>
        <w:jc w:val="center"/>
        <w:rPr>
          <w:lang w:eastAsia="ko-KR"/>
        </w:rPr>
      </w:pPr>
      <w:r>
        <w:rPr>
          <w:lang w:eastAsia="ko-KR"/>
        </w:rPr>
        <w:t>Working Group on Policy, Regulation and Services</w:t>
      </w:r>
    </w:p>
    <w:p w14:paraId="78994F57" w14:textId="44B6EDD6" w:rsidR="001109FB" w:rsidRDefault="001109FB" w:rsidP="00050869">
      <w:pPr>
        <w:rPr>
          <w:b/>
        </w:rPr>
      </w:pPr>
    </w:p>
    <w:p w14:paraId="38CEF599" w14:textId="77777777" w:rsidR="007F2417" w:rsidRDefault="007F2417" w:rsidP="00050869">
      <w:pPr>
        <w:rPr>
          <w:b/>
        </w:rPr>
      </w:pPr>
    </w:p>
    <w:p w14:paraId="20937797" w14:textId="2694C2D3" w:rsidR="009104B8" w:rsidRDefault="00D43BE0" w:rsidP="009B06B1">
      <w:pPr>
        <w:jc w:val="center"/>
        <w:rPr>
          <w:b/>
          <w:bCs/>
        </w:rPr>
      </w:pPr>
      <w:r>
        <w:rPr>
          <w:b/>
          <w:bCs/>
        </w:rPr>
        <w:t xml:space="preserve">WORK PLAN OF THE SATRC WORKING GROUP </w:t>
      </w:r>
    </w:p>
    <w:p w14:paraId="6A3F0B64" w14:textId="51115269" w:rsidR="007F2417" w:rsidRPr="003247FB" w:rsidRDefault="00D43BE0" w:rsidP="009B06B1">
      <w:pPr>
        <w:jc w:val="center"/>
        <w:rPr>
          <w:b/>
          <w:bCs/>
        </w:rPr>
      </w:pPr>
      <w:r>
        <w:rPr>
          <w:b/>
          <w:bCs/>
        </w:rPr>
        <w:t>ON POLICY, REGULATION AND SERVICES FOR SATRC ACTION PLAN PHASE IX</w:t>
      </w:r>
    </w:p>
    <w:p w14:paraId="5708E399" w14:textId="77777777" w:rsidR="001109FB" w:rsidRPr="00050869" w:rsidRDefault="001109FB" w:rsidP="009B06B1">
      <w:pPr>
        <w:jc w:val="center"/>
        <w:rPr>
          <w:lang w:eastAsia="ko-KR"/>
        </w:rPr>
      </w:pPr>
    </w:p>
    <w:p w14:paraId="56EAD699" w14:textId="77777777" w:rsidR="00A3260F" w:rsidRDefault="00A3260F" w:rsidP="00957A88">
      <w:pPr>
        <w:tabs>
          <w:tab w:val="left" w:pos="567"/>
        </w:tabs>
        <w:rPr>
          <w:b/>
          <w:bCs/>
          <w:lang w:eastAsia="ko-KR"/>
        </w:rPr>
      </w:pPr>
    </w:p>
    <w:p w14:paraId="54DA91BE" w14:textId="77777777" w:rsidR="00D43BE0" w:rsidRDefault="00D43BE0" w:rsidP="00957A88">
      <w:pPr>
        <w:tabs>
          <w:tab w:val="left" w:pos="567"/>
        </w:tabs>
        <w:rPr>
          <w:b/>
          <w:bCs/>
          <w:lang w:eastAsia="ko-KR"/>
        </w:rPr>
      </w:pPr>
    </w:p>
    <w:p w14:paraId="4602DE99" w14:textId="77777777" w:rsidR="00D43BE0" w:rsidRDefault="00D43BE0" w:rsidP="00957A88">
      <w:pPr>
        <w:tabs>
          <w:tab w:val="left" w:pos="567"/>
        </w:tabs>
        <w:rPr>
          <w:b/>
          <w:bCs/>
          <w:lang w:eastAsia="ko-KR"/>
        </w:rPr>
      </w:pPr>
    </w:p>
    <w:p w14:paraId="7CD2B0AA" w14:textId="77777777" w:rsidR="00D43BE0" w:rsidRDefault="00D43BE0" w:rsidP="00957A88">
      <w:pPr>
        <w:tabs>
          <w:tab w:val="left" w:pos="567"/>
        </w:tabs>
        <w:rPr>
          <w:b/>
          <w:bCs/>
          <w:lang w:eastAsia="ko-KR"/>
        </w:rPr>
      </w:pPr>
    </w:p>
    <w:p w14:paraId="0AE85AD8" w14:textId="77777777" w:rsidR="00D43BE0" w:rsidRDefault="00D43BE0" w:rsidP="00957A88">
      <w:pPr>
        <w:tabs>
          <w:tab w:val="left" w:pos="567"/>
        </w:tabs>
        <w:rPr>
          <w:b/>
          <w:bCs/>
          <w:lang w:eastAsia="ko-KR"/>
        </w:rPr>
      </w:pPr>
    </w:p>
    <w:p w14:paraId="6A8F9CC0" w14:textId="77777777" w:rsidR="00D43BE0" w:rsidRDefault="00D43BE0" w:rsidP="00957A88">
      <w:pPr>
        <w:tabs>
          <w:tab w:val="left" w:pos="567"/>
        </w:tabs>
        <w:rPr>
          <w:b/>
          <w:bCs/>
          <w:lang w:eastAsia="ko-KR"/>
        </w:rPr>
      </w:pPr>
    </w:p>
    <w:p w14:paraId="3E2DF5FB" w14:textId="77777777" w:rsidR="00D43BE0" w:rsidRDefault="00D43BE0" w:rsidP="00957A88">
      <w:pPr>
        <w:tabs>
          <w:tab w:val="left" w:pos="567"/>
        </w:tabs>
        <w:rPr>
          <w:b/>
          <w:bCs/>
          <w:lang w:eastAsia="ko-KR"/>
        </w:rPr>
      </w:pPr>
    </w:p>
    <w:p w14:paraId="05A168BE" w14:textId="77777777" w:rsidR="00D43BE0" w:rsidRDefault="00D43BE0" w:rsidP="00957A88">
      <w:pPr>
        <w:tabs>
          <w:tab w:val="left" w:pos="567"/>
        </w:tabs>
        <w:rPr>
          <w:b/>
          <w:bCs/>
          <w:lang w:eastAsia="ko-KR"/>
        </w:rPr>
      </w:pPr>
    </w:p>
    <w:p w14:paraId="43957EDF" w14:textId="77777777" w:rsidR="00D43BE0" w:rsidRDefault="00D43BE0" w:rsidP="00957A88">
      <w:pPr>
        <w:tabs>
          <w:tab w:val="left" w:pos="567"/>
        </w:tabs>
        <w:rPr>
          <w:b/>
          <w:bCs/>
          <w:lang w:eastAsia="ko-KR"/>
        </w:rPr>
      </w:pPr>
    </w:p>
    <w:p w14:paraId="4715DA6A" w14:textId="77777777" w:rsidR="00D43BE0" w:rsidRDefault="00D43BE0" w:rsidP="00957A88">
      <w:pPr>
        <w:tabs>
          <w:tab w:val="left" w:pos="567"/>
        </w:tabs>
        <w:rPr>
          <w:b/>
          <w:bCs/>
          <w:lang w:eastAsia="ko-KR"/>
        </w:rPr>
      </w:pPr>
    </w:p>
    <w:p w14:paraId="4FCC06AB" w14:textId="77777777" w:rsidR="00D43BE0" w:rsidRDefault="00D43BE0" w:rsidP="00957A88">
      <w:pPr>
        <w:tabs>
          <w:tab w:val="left" w:pos="567"/>
        </w:tabs>
        <w:rPr>
          <w:b/>
          <w:bCs/>
          <w:lang w:eastAsia="ko-KR"/>
        </w:rPr>
      </w:pPr>
    </w:p>
    <w:p w14:paraId="70D16DC0" w14:textId="77777777" w:rsidR="00D43BE0" w:rsidRDefault="00D43BE0" w:rsidP="00957A88">
      <w:pPr>
        <w:tabs>
          <w:tab w:val="left" w:pos="567"/>
        </w:tabs>
        <w:rPr>
          <w:b/>
          <w:bCs/>
          <w:lang w:eastAsia="ko-KR"/>
        </w:rPr>
      </w:pPr>
    </w:p>
    <w:p w14:paraId="304476AB" w14:textId="77777777" w:rsidR="00D43BE0" w:rsidRDefault="00D43BE0" w:rsidP="00957A88">
      <w:pPr>
        <w:tabs>
          <w:tab w:val="left" w:pos="567"/>
        </w:tabs>
        <w:rPr>
          <w:b/>
          <w:bCs/>
          <w:lang w:eastAsia="ko-KR"/>
        </w:rPr>
      </w:pPr>
    </w:p>
    <w:p w14:paraId="287EEFDC" w14:textId="77777777" w:rsidR="00D43BE0" w:rsidRDefault="00D43BE0" w:rsidP="00957A88">
      <w:pPr>
        <w:tabs>
          <w:tab w:val="left" w:pos="567"/>
        </w:tabs>
        <w:rPr>
          <w:b/>
          <w:bCs/>
          <w:lang w:eastAsia="ko-KR"/>
        </w:rPr>
      </w:pPr>
    </w:p>
    <w:p w14:paraId="19EC0A48" w14:textId="77777777" w:rsidR="00D43BE0" w:rsidRDefault="00D43BE0" w:rsidP="00957A88">
      <w:pPr>
        <w:tabs>
          <w:tab w:val="left" w:pos="567"/>
        </w:tabs>
        <w:rPr>
          <w:b/>
          <w:bCs/>
          <w:lang w:eastAsia="ko-KR"/>
        </w:rPr>
      </w:pPr>
    </w:p>
    <w:p w14:paraId="075548F6" w14:textId="77777777" w:rsidR="00D43BE0" w:rsidRDefault="00D43BE0" w:rsidP="00957A88">
      <w:pPr>
        <w:tabs>
          <w:tab w:val="left" w:pos="567"/>
        </w:tabs>
        <w:rPr>
          <w:b/>
          <w:bCs/>
          <w:lang w:eastAsia="ko-KR"/>
        </w:rPr>
      </w:pPr>
    </w:p>
    <w:p w14:paraId="4797E90C" w14:textId="77777777" w:rsidR="00D43BE0" w:rsidRDefault="00D43BE0" w:rsidP="00957A88">
      <w:pPr>
        <w:tabs>
          <w:tab w:val="left" w:pos="567"/>
        </w:tabs>
        <w:rPr>
          <w:b/>
          <w:bCs/>
          <w:lang w:eastAsia="ko-KR"/>
        </w:rPr>
      </w:pPr>
    </w:p>
    <w:p w14:paraId="4EDA4645" w14:textId="77777777" w:rsidR="00D43BE0" w:rsidRDefault="00D43BE0" w:rsidP="00957A88">
      <w:pPr>
        <w:tabs>
          <w:tab w:val="left" w:pos="567"/>
        </w:tabs>
        <w:rPr>
          <w:b/>
          <w:bCs/>
          <w:lang w:eastAsia="ko-KR"/>
        </w:rPr>
      </w:pPr>
    </w:p>
    <w:p w14:paraId="2DC230D5" w14:textId="77777777" w:rsidR="00D43BE0" w:rsidRDefault="00D43BE0" w:rsidP="00957A88">
      <w:pPr>
        <w:tabs>
          <w:tab w:val="left" w:pos="567"/>
        </w:tabs>
        <w:rPr>
          <w:b/>
          <w:bCs/>
          <w:lang w:eastAsia="ko-KR"/>
        </w:rPr>
      </w:pPr>
    </w:p>
    <w:p w14:paraId="390E8792" w14:textId="77777777" w:rsidR="00D43BE0" w:rsidRDefault="00D43BE0" w:rsidP="00957A88">
      <w:pPr>
        <w:tabs>
          <w:tab w:val="left" w:pos="567"/>
        </w:tabs>
        <w:rPr>
          <w:b/>
          <w:bCs/>
          <w:lang w:eastAsia="ko-KR"/>
        </w:rPr>
      </w:pPr>
    </w:p>
    <w:p w14:paraId="5BF9EBBD" w14:textId="77777777" w:rsidR="00D43BE0" w:rsidRDefault="00D43BE0" w:rsidP="00957A88">
      <w:pPr>
        <w:tabs>
          <w:tab w:val="left" w:pos="567"/>
        </w:tabs>
        <w:rPr>
          <w:b/>
          <w:bCs/>
          <w:lang w:eastAsia="ko-KR"/>
        </w:rPr>
      </w:pPr>
    </w:p>
    <w:p w14:paraId="2688E5D3" w14:textId="77777777" w:rsidR="00D43BE0" w:rsidRDefault="00D43BE0" w:rsidP="00957A88">
      <w:pPr>
        <w:tabs>
          <w:tab w:val="left" w:pos="567"/>
        </w:tabs>
        <w:rPr>
          <w:b/>
          <w:bCs/>
          <w:lang w:eastAsia="ko-KR"/>
        </w:rPr>
      </w:pPr>
    </w:p>
    <w:p w14:paraId="41425CD8" w14:textId="77777777" w:rsidR="00D43BE0" w:rsidRDefault="00D43BE0" w:rsidP="00957A88">
      <w:pPr>
        <w:tabs>
          <w:tab w:val="left" w:pos="567"/>
        </w:tabs>
        <w:rPr>
          <w:b/>
          <w:bCs/>
          <w:lang w:eastAsia="ko-KR"/>
        </w:rPr>
      </w:pPr>
    </w:p>
    <w:p w14:paraId="0DCB542C" w14:textId="77777777" w:rsidR="00D43BE0" w:rsidRDefault="00D43BE0" w:rsidP="00957A88">
      <w:pPr>
        <w:tabs>
          <w:tab w:val="left" w:pos="567"/>
        </w:tabs>
        <w:rPr>
          <w:b/>
          <w:bCs/>
          <w:lang w:eastAsia="ko-KR"/>
        </w:rPr>
      </w:pPr>
    </w:p>
    <w:p w14:paraId="6A8183D5" w14:textId="77777777" w:rsidR="00D43BE0" w:rsidRDefault="00D43BE0" w:rsidP="00957A88">
      <w:pPr>
        <w:tabs>
          <w:tab w:val="left" w:pos="567"/>
        </w:tabs>
        <w:rPr>
          <w:b/>
          <w:bCs/>
          <w:lang w:eastAsia="ko-KR"/>
        </w:rPr>
      </w:pPr>
    </w:p>
    <w:p w14:paraId="1CFFFF5C" w14:textId="77777777" w:rsidR="00D43BE0" w:rsidRDefault="00D43BE0" w:rsidP="00957A88">
      <w:pPr>
        <w:tabs>
          <w:tab w:val="left" w:pos="567"/>
        </w:tabs>
        <w:rPr>
          <w:b/>
          <w:bCs/>
          <w:lang w:eastAsia="ko-KR"/>
        </w:rPr>
      </w:pPr>
    </w:p>
    <w:p w14:paraId="689DBF08" w14:textId="77777777" w:rsidR="00D43BE0" w:rsidRDefault="00D43BE0" w:rsidP="00957A88">
      <w:pPr>
        <w:tabs>
          <w:tab w:val="left" w:pos="567"/>
        </w:tabs>
        <w:rPr>
          <w:b/>
          <w:bCs/>
          <w:lang w:eastAsia="ko-KR"/>
        </w:rPr>
      </w:pPr>
    </w:p>
    <w:p w14:paraId="25D77FC7" w14:textId="77777777" w:rsidR="00D43BE0" w:rsidRDefault="00D43BE0" w:rsidP="00957A88">
      <w:pPr>
        <w:tabs>
          <w:tab w:val="left" w:pos="567"/>
        </w:tabs>
        <w:rPr>
          <w:b/>
          <w:bCs/>
          <w:lang w:eastAsia="ko-KR"/>
        </w:rPr>
      </w:pPr>
    </w:p>
    <w:p w14:paraId="5ADD0D64" w14:textId="77777777" w:rsidR="00D43BE0" w:rsidRDefault="00D43BE0" w:rsidP="00957A88">
      <w:pPr>
        <w:tabs>
          <w:tab w:val="left" w:pos="567"/>
        </w:tabs>
        <w:rPr>
          <w:b/>
          <w:bCs/>
          <w:lang w:eastAsia="ko-KR"/>
        </w:rPr>
      </w:pPr>
    </w:p>
    <w:p w14:paraId="540DAB6E" w14:textId="77777777" w:rsidR="00D43BE0" w:rsidRDefault="00D43BE0" w:rsidP="00957A88">
      <w:pPr>
        <w:tabs>
          <w:tab w:val="left" w:pos="567"/>
        </w:tabs>
        <w:rPr>
          <w:b/>
          <w:bCs/>
          <w:lang w:eastAsia="ko-KR"/>
        </w:rPr>
      </w:pPr>
    </w:p>
    <w:p w14:paraId="7A3DB036" w14:textId="77777777" w:rsidR="00D43BE0" w:rsidRDefault="00D43BE0" w:rsidP="00957A88">
      <w:pPr>
        <w:tabs>
          <w:tab w:val="left" w:pos="567"/>
        </w:tabs>
        <w:rPr>
          <w:b/>
          <w:bCs/>
          <w:lang w:eastAsia="ko-KR"/>
        </w:rPr>
      </w:pPr>
    </w:p>
    <w:p w14:paraId="66EFA86F" w14:textId="77777777" w:rsidR="00D43BE0" w:rsidRDefault="00D43BE0" w:rsidP="00957A88">
      <w:pPr>
        <w:tabs>
          <w:tab w:val="left" w:pos="567"/>
        </w:tabs>
        <w:rPr>
          <w:b/>
          <w:bCs/>
          <w:lang w:eastAsia="ko-KR"/>
        </w:rPr>
      </w:pPr>
    </w:p>
    <w:p w14:paraId="7004DE2D" w14:textId="77777777" w:rsidR="00D43BE0" w:rsidRDefault="00D43BE0" w:rsidP="00957A88">
      <w:pPr>
        <w:tabs>
          <w:tab w:val="left" w:pos="567"/>
        </w:tabs>
        <w:rPr>
          <w:b/>
          <w:bCs/>
          <w:lang w:eastAsia="ko-KR"/>
        </w:rPr>
      </w:pPr>
    </w:p>
    <w:p w14:paraId="09D90DFA" w14:textId="77777777" w:rsidR="00D43BE0" w:rsidRDefault="00D43BE0" w:rsidP="00957A88">
      <w:pPr>
        <w:tabs>
          <w:tab w:val="left" w:pos="567"/>
        </w:tabs>
        <w:rPr>
          <w:b/>
          <w:bCs/>
          <w:lang w:eastAsia="ko-KR"/>
        </w:rPr>
      </w:pPr>
    </w:p>
    <w:p w14:paraId="19C2E11B" w14:textId="77777777" w:rsidR="00D43BE0" w:rsidRDefault="00D43BE0" w:rsidP="00957A88">
      <w:pPr>
        <w:tabs>
          <w:tab w:val="left" w:pos="567"/>
        </w:tabs>
        <w:rPr>
          <w:b/>
          <w:bCs/>
          <w:lang w:eastAsia="ko-KR"/>
        </w:rPr>
      </w:pPr>
    </w:p>
    <w:p w14:paraId="67479B70" w14:textId="77777777" w:rsidR="00D43BE0" w:rsidRDefault="00D43BE0" w:rsidP="00957A88">
      <w:pPr>
        <w:tabs>
          <w:tab w:val="left" w:pos="567"/>
        </w:tabs>
        <w:rPr>
          <w:b/>
          <w:bCs/>
          <w:lang w:eastAsia="ko-KR"/>
        </w:rPr>
      </w:pPr>
    </w:p>
    <w:p w14:paraId="0E45BA93" w14:textId="77777777" w:rsidR="00A3260F" w:rsidRDefault="00A3260F" w:rsidP="00957A88">
      <w:pPr>
        <w:tabs>
          <w:tab w:val="left" w:pos="567"/>
        </w:tabs>
        <w:rPr>
          <w:b/>
          <w:bCs/>
          <w:lang w:eastAsia="ko-K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A3260F" w:rsidRPr="0096298D" w14:paraId="72548571" w14:textId="77777777" w:rsidTr="00F33A67">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E5226" w14:textId="77777777" w:rsidR="00A3260F" w:rsidRPr="0096298D" w:rsidRDefault="00A3260F" w:rsidP="00F33A67">
            <w:pPr>
              <w:snapToGrid w:val="0"/>
              <w:spacing w:before="40" w:after="40"/>
              <w:rPr>
                <w:b/>
                <w:lang w:val="en-AU"/>
              </w:rPr>
            </w:pPr>
            <w:r w:rsidRPr="0096298D">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24742" w14:textId="7D150A36" w:rsidR="00A3260F" w:rsidRPr="00F733D4" w:rsidRDefault="00A3260F" w:rsidP="00F33A67">
            <w:pPr>
              <w:jc w:val="both"/>
              <w:rPr>
                <w:b/>
                <w:bCs/>
                <w:i/>
                <w:iCs/>
              </w:rPr>
            </w:pPr>
            <w:r w:rsidRPr="00F733D4">
              <w:rPr>
                <w:b/>
                <w:bCs/>
              </w:rPr>
              <w:t>Study of the regulatory challenges concerning new technologies and smart solutions for Fixed and Mobile Broadband</w:t>
            </w:r>
          </w:p>
        </w:tc>
      </w:tr>
      <w:tr w:rsidR="00A3260F" w:rsidRPr="0096298D" w14:paraId="1892F66E" w14:textId="77777777" w:rsidTr="00F33A67">
        <w:trPr>
          <w:trHeight w:val="233"/>
        </w:trPr>
        <w:tc>
          <w:tcPr>
            <w:tcW w:w="2425" w:type="dxa"/>
            <w:tcBorders>
              <w:top w:val="single" w:sz="4" w:space="0" w:color="auto"/>
              <w:left w:val="single" w:sz="4" w:space="0" w:color="auto"/>
              <w:bottom w:val="single" w:sz="4" w:space="0" w:color="auto"/>
              <w:right w:val="single" w:sz="4" w:space="0" w:color="auto"/>
            </w:tcBorders>
          </w:tcPr>
          <w:p w14:paraId="2F90316B" w14:textId="77777777" w:rsidR="00A3260F" w:rsidRPr="003247FB" w:rsidRDefault="00A3260F" w:rsidP="00F33A67">
            <w:pPr>
              <w:snapToGrid w:val="0"/>
              <w:spacing w:before="40" w:after="40"/>
              <w:rPr>
                <w:rFonts w:eastAsia="Batang"/>
                <w:b/>
              </w:rPr>
            </w:pPr>
            <w:r>
              <w:rPr>
                <w:rFonts w:eastAsia="Batang"/>
                <w:b/>
              </w:rPr>
              <w:t>Lead Expert</w:t>
            </w:r>
          </w:p>
        </w:tc>
        <w:tc>
          <w:tcPr>
            <w:tcW w:w="7020" w:type="dxa"/>
            <w:tcBorders>
              <w:top w:val="single" w:sz="4" w:space="0" w:color="auto"/>
              <w:left w:val="single" w:sz="4" w:space="0" w:color="auto"/>
              <w:bottom w:val="single" w:sz="4" w:space="0" w:color="auto"/>
              <w:right w:val="single" w:sz="4" w:space="0" w:color="auto"/>
            </w:tcBorders>
          </w:tcPr>
          <w:p w14:paraId="49C4A8F7" w14:textId="11748D2C" w:rsidR="00A3260F" w:rsidRDefault="004B23F1" w:rsidP="00F33A67">
            <w:pPr>
              <w:overflowPunct w:val="0"/>
              <w:autoSpaceDE w:val="0"/>
              <w:autoSpaceDN w:val="0"/>
              <w:adjustRightInd w:val="0"/>
              <w:snapToGrid w:val="0"/>
              <w:spacing w:before="40" w:after="40"/>
              <w:textAlignment w:val="baseline"/>
            </w:pPr>
            <w:r>
              <w:t>Mr. Saed Taheri, CRA (I</w:t>
            </w:r>
            <w:r w:rsidR="00A8097E">
              <w:t>slamic Republic of Iran)</w:t>
            </w:r>
          </w:p>
        </w:tc>
      </w:tr>
      <w:tr w:rsidR="00A26A21" w:rsidRPr="0096298D" w14:paraId="0C428E84" w14:textId="77777777" w:rsidTr="00F33A67">
        <w:trPr>
          <w:trHeight w:val="233"/>
        </w:trPr>
        <w:tc>
          <w:tcPr>
            <w:tcW w:w="2425" w:type="dxa"/>
            <w:tcBorders>
              <w:top w:val="single" w:sz="4" w:space="0" w:color="auto"/>
              <w:left w:val="single" w:sz="4" w:space="0" w:color="auto"/>
              <w:bottom w:val="single" w:sz="4" w:space="0" w:color="auto"/>
              <w:right w:val="single" w:sz="4" w:space="0" w:color="auto"/>
            </w:tcBorders>
          </w:tcPr>
          <w:p w14:paraId="058E1A88" w14:textId="7A590215" w:rsidR="00A26A21" w:rsidRDefault="00A26A21" w:rsidP="00F33A67">
            <w:pPr>
              <w:snapToGrid w:val="0"/>
              <w:spacing w:before="40" w:after="40"/>
              <w:rPr>
                <w:rFonts w:eastAsia="Batang"/>
                <w:b/>
              </w:rPr>
            </w:pPr>
            <w:r>
              <w:rPr>
                <w:rFonts w:eastAsia="Batang"/>
                <w:b/>
              </w:rPr>
              <w:t>Co-Lead Expert</w:t>
            </w:r>
          </w:p>
        </w:tc>
        <w:tc>
          <w:tcPr>
            <w:tcW w:w="7020" w:type="dxa"/>
            <w:tcBorders>
              <w:top w:val="single" w:sz="4" w:space="0" w:color="auto"/>
              <w:left w:val="single" w:sz="4" w:space="0" w:color="auto"/>
              <w:bottom w:val="single" w:sz="4" w:space="0" w:color="auto"/>
              <w:right w:val="single" w:sz="4" w:space="0" w:color="auto"/>
            </w:tcBorders>
          </w:tcPr>
          <w:p w14:paraId="379C8FB9" w14:textId="32AE8194" w:rsidR="00A26A21" w:rsidRDefault="00436CF1" w:rsidP="00F33A67">
            <w:pPr>
              <w:overflowPunct w:val="0"/>
              <w:autoSpaceDE w:val="0"/>
              <w:autoSpaceDN w:val="0"/>
              <w:adjustRightInd w:val="0"/>
              <w:snapToGrid w:val="0"/>
              <w:spacing w:before="40" w:after="40"/>
              <w:textAlignment w:val="baseline"/>
            </w:pPr>
            <w:r w:rsidRPr="005B2F97">
              <w:t>TRC (Sri Lanka)</w:t>
            </w:r>
          </w:p>
        </w:tc>
      </w:tr>
      <w:tr w:rsidR="00A3260F" w:rsidRPr="0096298D" w14:paraId="09CE4514" w14:textId="77777777" w:rsidTr="00F33A67">
        <w:trPr>
          <w:trHeight w:val="233"/>
        </w:trPr>
        <w:tc>
          <w:tcPr>
            <w:tcW w:w="2425" w:type="dxa"/>
            <w:tcBorders>
              <w:top w:val="single" w:sz="4" w:space="0" w:color="auto"/>
              <w:left w:val="single" w:sz="4" w:space="0" w:color="auto"/>
              <w:bottom w:val="single" w:sz="4" w:space="0" w:color="auto"/>
              <w:right w:val="single" w:sz="4" w:space="0" w:color="auto"/>
            </w:tcBorders>
          </w:tcPr>
          <w:p w14:paraId="5904A69D" w14:textId="77777777" w:rsidR="00A3260F" w:rsidRPr="0096298D" w:rsidRDefault="00A3260F" w:rsidP="00F33A67">
            <w:pPr>
              <w:snapToGrid w:val="0"/>
              <w:spacing w:before="40" w:after="40"/>
              <w:rPr>
                <w:rFonts w:eastAsia="휴먼명조"/>
                <w:b/>
                <w:color w:val="000000"/>
                <w:lang w:val="en-AU"/>
              </w:rPr>
            </w:pPr>
            <w:r w:rsidRPr="003247FB">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tcPr>
          <w:p w14:paraId="2278A7E8" w14:textId="77777777" w:rsidR="00A3260F" w:rsidRPr="0096298D" w:rsidRDefault="00A3260F" w:rsidP="00F33A67">
            <w:pPr>
              <w:overflowPunct w:val="0"/>
              <w:autoSpaceDE w:val="0"/>
              <w:autoSpaceDN w:val="0"/>
              <w:adjustRightInd w:val="0"/>
              <w:snapToGrid w:val="0"/>
              <w:spacing w:before="40" w:after="40"/>
              <w:textAlignment w:val="baseline"/>
              <w:rPr>
                <w:lang w:val="en-AU" w:eastAsia="ko-KR"/>
              </w:rPr>
            </w:pPr>
            <w:r>
              <w:t>Islamic Republic of Iran</w:t>
            </w:r>
          </w:p>
        </w:tc>
      </w:tr>
      <w:tr w:rsidR="00A3260F" w:rsidRPr="0096298D" w14:paraId="36C8F642" w14:textId="77777777" w:rsidTr="00F33A67">
        <w:trPr>
          <w:trHeight w:val="233"/>
        </w:trPr>
        <w:tc>
          <w:tcPr>
            <w:tcW w:w="2425" w:type="dxa"/>
            <w:tcBorders>
              <w:top w:val="single" w:sz="4" w:space="0" w:color="auto"/>
              <w:left w:val="single" w:sz="4" w:space="0" w:color="auto"/>
              <w:bottom w:val="single" w:sz="4" w:space="0" w:color="auto"/>
              <w:right w:val="single" w:sz="4" w:space="0" w:color="auto"/>
            </w:tcBorders>
          </w:tcPr>
          <w:p w14:paraId="493CC2EB" w14:textId="77777777" w:rsidR="00A3260F" w:rsidRPr="0096298D" w:rsidRDefault="00A3260F" w:rsidP="00F33A67">
            <w:pPr>
              <w:snapToGrid w:val="0"/>
              <w:spacing w:before="40" w:after="40"/>
              <w:rPr>
                <w:rFonts w:eastAsia="휴먼명조"/>
                <w:b/>
                <w:color w:val="000000"/>
                <w:lang w:val="en-AU"/>
              </w:rPr>
            </w:pPr>
            <w:r w:rsidRPr="003247FB">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tcPr>
          <w:p w14:paraId="3B0E831E" w14:textId="77777777" w:rsidR="00A3260F" w:rsidRPr="0096298D" w:rsidRDefault="00A3260F" w:rsidP="00F33A67">
            <w:pPr>
              <w:overflowPunct w:val="0"/>
              <w:autoSpaceDE w:val="0"/>
              <w:autoSpaceDN w:val="0"/>
              <w:adjustRightInd w:val="0"/>
              <w:snapToGrid w:val="0"/>
              <w:spacing w:before="40" w:after="40"/>
              <w:textAlignment w:val="baseline"/>
              <w:rPr>
                <w:lang w:val="en-AU" w:eastAsia="ko-KR"/>
              </w:rPr>
            </w:pPr>
            <w:r w:rsidRPr="003247FB">
              <w:rPr>
                <w:rFonts w:eastAsia="Times New Roman"/>
                <w:lang w:val="en-AU" w:eastAsia="zh-CN"/>
              </w:rPr>
              <w:t>W</w:t>
            </w:r>
            <w:r>
              <w:rPr>
                <w:rFonts w:eastAsia="Times New Roman"/>
                <w:lang w:val="en-AU" w:eastAsia="zh-CN"/>
              </w:rPr>
              <w:t xml:space="preserve">orking Group on </w:t>
            </w:r>
            <w:r w:rsidRPr="00AE3613">
              <w:rPr>
                <w:rFonts w:cs="Mangal"/>
                <w:color w:val="000000"/>
                <w:shd w:val="clear" w:color="auto" w:fill="FFFFFF"/>
              </w:rPr>
              <w:t>Policy, Regulation and Services</w:t>
            </w:r>
          </w:p>
        </w:tc>
      </w:tr>
      <w:tr w:rsidR="00A3260F" w:rsidRPr="0096298D" w14:paraId="019E441B" w14:textId="77777777" w:rsidTr="00F33A67">
        <w:trPr>
          <w:trHeight w:val="233"/>
        </w:trPr>
        <w:tc>
          <w:tcPr>
            <w:tcW w:w="2425" w:type="dxa"/>
            <w:tcBorders>
              <w:top w:val="single" w:sz="4" w:space="0" w:color="auto"/>
              <w:left w:val="single" w:sz="4" w:space="0" w:color="auto"/>
              <w:bottom w:val="single" w:sz="4" w:space="0" w:color="auto"/>
              <w:right w:val="single" w:sz="4" w:space="0" w:color="auto"/>
            </w:tcBorders>
            <w:hideMark/>
          </w:tcPr>
          <w:p w14:paraId="569C0C14" w14:textId="77777777" w:rsidR="00A3260F" w:rsidRPr="0096298D" w:rsidRDefault="00A3260F" w:rsidP="00F33A67">
            <w:pPr>
              <w:snapToGrid w:val="0"/>
              <w:spacing w:before="40" w:after="40"/>
              <w:rPr>
                <w:rFonts w:eastAsia="휴먼명조"/>
                <w:b/>
                <w:color w:val="000000"/>
                <w:lang w:val="en-AU"/>
              </w:rPr>
            </w:pPr>
            <w:r w:rsidRPr="0096298D">
              <w:rPr>
                <w:rFonts w:eastAsia="휴먼명조"/>
                <w:b/>
                <w:color w:val="000000"/>
                <w:lang w:val="en-AU"/>
              </w:rPr>
              <w:t>Output</w:t>
            </w:r>
          </w:p>
          <w:p w14:paraId="3B884DC2" w14:textId="77777777" w:rsidR="00A3260F" w:rsidRPr="0096298D" w:rsidRDefault="00A3260F" w:rsidP="00F33A67">
            <w:pPr>
              <w:snapToGrid w:val="0"/>
              <w:spacing w:before="40" w:after="4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771BD3EE" w14:textId="77777777" w:rsidR="00A3260F" w:rsidRPr="0096298D" w:rsidRDefault="00A3260F" w:rsidP="00F33A67">
            <w:pPr>
              <w:overflowPunct w:val="0"/>
              <w:autoSpaceDE w:val="0"/>
              <w:autoSpaceDN w:val="0"/>
              <w:adjustRightInd w:val="0"/>
              <w:snapToGrid w:val="0"/>
              <w:spacing w:before="40" w:after="40"/>
              <w:textAlignment w:val="baseline"/>
              <w:rPr>
                <w:rFonts w:eastAsia="Times New Roman"/>
                <w:lang w:val="en-AU" w:eastAsia="zh-CN"/>
              </w:rPr>
            </w:pPr>
            <w:r w:rsidRPr="009B68BA">
              <w:rPr>
                <w:bCs/>
                <w:lang w:val="en-AU" w:eastAsia="ko-KR"/>
              </w:rPr>
              <w:t>Report / Guideline / Recommendation</w:t>
            </w:r>
          </w:p>
        </w:tc>
      </w:tr>
      <w:tr w:rsidR="00A3260F" w:rsidRPr="0096298D" w14:paraId="38F6647E" w14:textId="77777777" w:rsidTr="00F33A67">
        <w:trPr>
          <w:trHeight w:val="339"/>
        </w:trPr>
        <w:tc>
          <w:tcPr>
            <w:tcW w:w="2425" w:type="dxa"/>
            <w:tcBorders>
              <w:top w:val="single" w:sz="4" w:space="0" w:color="auto"/>
              <w:left w:val="single" w:sz="4" w:space="0" w:color="auto"/>
              <w:bottom w:val="single" w:sz="4" w:space="0" w:color="auto"/>
              <w:right w:val="single" w:sz="4" w:space="0" w:color="auto"/>
            </w:tcBorders>
            <w:hideMark/>
          </w:tcPr>
          <w:p w14:paraId="2FA76FFD" w14:textId="77777777" w:rsidR="00A3260F" w:rsidRPr="0096298D" w:rsidRDefault="00A3260F" w:rsidP="00F33A67">
            <w:pPr>
              <w:snapToGrid w:val="0"/>
              <w:spacing w:before="40" w:after="40"/>
              <w:rPr>
                <w:rFonts w:eastAsia="휴먼명조"/>
                <w:b/>
                <w:color w:val="000000"/>
                <w:lang w:val="en-AU"/>
              </w:rPr>
            </w:pPr>
            <w:r w:rsidRPr="0096298D">
              <w:rPr>
                <w:rFonts w:eastAsia="휴먼명조"/>
                <w:b/>
                <w:color w:val="000000"/>
                <w:lang w:val="en-AU"/>
              </w:rPr>
              <w:t>Background and Purpose</w:t>
            </w:r>
          </w:p>
          <w:p w14:paraId="45800EE2" w14:textId="77777777" w:rsidR="00A3260F" w:rsidRPr="0096298D" w:rsidRDefault="00A3260F" w:rsidP="00F33A67">
            <w:pPr>
              <w:rPr>
                <w:rFonts w:eastAsia="휴먼명조"/>
                <w:lang w:val="en-AU"/>
              </w:rPr>
            </w:pPr>
          </w:p>
          <w:p w14:paraId="5CC7CE80" w14:textId="77777777" w:rsidR="00A3260F" w:rsidRPr="0096298D" w:rsidRDefault="00A3260F" w:rsidP="00F33A67">
            <w:pPr>
              <w:rPr>
                <w:rFonts w:eastAsia="휴먼명조"/>
                <w:lang w:val="en-AU"/>
              </w:rPr>
            </w:pPr>
          </w:p>
          <w:p w14:paraId="7849F749" w14:textId="77777777" w:rsidR="00A3260F" w:rsidRPr="0096298D" w:rsidRDefault="00A3260F" w:rsidP="00F33A67">
            <w:pPr>
              <w:rPr>
                <w:rFonts w:eastAsia="휴먼명조"/>
                <w:lang w:val="en-AU"/>
              </w:rPr>
            </w:pPr>
          </w:p>
          <w:p w14:paraId="48A0B636" w14:textId="77777777" w:rsidR="00A3260F" w:rsidRPr="0096298D" w:rsidRDefault="00A3260F" w:rsidP="00F33A67">
            <w:pPr>
              <w:jc w:val="right"/>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5D14A4F" w14:textId="5F07244D" w:rsidR="003A440D" w:rsidRDefault="003A440D" w:rsidP="003A440D">
            <w:pPr>
              <w:jc w:val="both"/>
            </w:pPr>
            <w:r>
              <w:t>To develop Broadband and in order to expand the market of communication services and reduce the investment costs of creating and developing network infrastructure and supplying equipment, many countries have planned and prepared the principles governing the development of fiber optic access networks. But in order to make optimal use of available resources and deal with regulatory challenges, it is necessary to study consult, and use the best practices of pioneers in these fields.</w:t>
            </w:r>
          </w:p>
          <w:p w14:paraId="70129662" w14:textId="77777777" w:rsidR="00A3260F" w:rsidRDefault="003A440D" w:rsidP="003A440D">
            <w:pPr>
              <w:jc w:val="both"/>
            </w:pPr>
            <w:r>
              <w:t>As members of SATRC, studying new technologies in FTTx, 5G &amp; etc. and identifying strategies to increase Fixed and Mobile Broadband effectiveness can significantly contribute to digital inclusion efforts in the region. This study topic focuses on fiber optic and 5G development policies and regulatory challenges.</w:t>
            </w:r>
          </w:p>
          <w:p w14:paraId="054EBEB2" w14:textId="3871154B" w:rsidR="00056110" w:rsidRPr="00056110" w:rsidRDefault="00056110" w:rsidP="00056110">
            <w:pPr>
              <w:tabs>
                <w:tab w:val="left" w:pos="567"/>
              </w:tabs>
              <w:spacing w:after="160"/>
              <w:contextualSpacing/>
              <w:jc w:val="both"/>
              <w:rPr>
                <w:rFonts w:eastAsia="Batang"/>
                <w:b/>
                <w:lang w:eastAsia="ko-KR"/>
              </w:rPr>
            </w:pPr>
            <w:r w:rsidRPr="00F01DBB">
              <w:t>Smart Solution:  Modern networks need to be optimized and flexible enough to handle the need for ever increasing bandwidth. At the same time, network costs have to be manageable. So any innovative idea or approach that could optimized and improved Fixed or Mobile Broadband such as Fixed Mobile Convergence (FMC),&amp; etc. can be considered.</w:t>
            </w:r>
            <w:r>
              <w:t xml:space="preserve"> </w:t>
            </w:r>
          </w:p>
        </w:tc>
      </w:tr>
      <w:tr w:rsidR="00A3260F" w:rsidRPr="0096298D" w14:paraId="6DF4B345" w14:textId="77777777" w:rsidTr="00F33A67">
        <w:trPr>
          <w:trHeight w:val="339"/>
        </w:trPr>
        <w:tc>
          <w:tcPr>
            <w:tcW w:w="2425" w:type="dxa"/>
            <w:tcBorders>
              <w:top w:val="single" w:sz="4" w:space="0" w:color="auto"/>
              <w:left w:val="single" w:sz="4" w:space="0" w:color="auto"/>
              <w:bottom w:val="single" w:sz="4" w:space="0" w:color="auto"/>
              <w:right w:val="single" w:sz="4" w:space="0" w:color="auto"/>
            </w:tcBorders>
            <w:hideMark/>
          </w:tcPr>
          <w:p w14:paraId="5F7A0798" w14:textId="77777777" w:rsidR="00A3260F" w:rsidRPr="0096298D" w:rsidRDefault="00A3260F" w:rsidP="00F33A67">
            <w:pPr>
              <w:snapToGrid w:val="0"/>
              <w:spacing w:before="40" w:after="40"/>
              <w:rPr>
                <w:rFonts w:eastAsia="휴먼명조"/>
                <w:b/>
                <w:color w:val="000000"/>
                <w:lang w:val="en-AU"/>
              </w:rPr>
            </w:pPr>
            <w:r w:rsidRPr="0096298D">
              <w:rPr>
                <w:rFonts w:eastAsia="휴먼명조"/>
                <w:b/>
                <w:color w:val="000000"/>
                <w:lang w:val="en-AU"/>
              </w:rPr>
              <w:t>Scope</w:t>
            </w:r>
          </w:p>
          <w:p w14:paraId="6782398B" w14:textId="77777777" w:rsidR="00A3260F" w:rsidRPr="0096298D" w:rsidRDefault="00A3260F" w:rsidP="00F33A67">
            <w:pPr>
              <w:snapToGrid w:val="0"/>
              <w:spacing w:before="40" w:after="40"/>
              <w:rPr>
                <w:rFonts w:eastAsia="휴먼명조"/>
                <w:b/>
                <w:color w:val="000000"/>
                <w:lang w:val="en-AU"/>
              </w:rPr>
            </w:pPr>
          </w:p>
          <w:p w14:paraId="09E675D9" w14:textId="77777777" w:rsidR="00A3260F" w:rsidRPr="0096298D" w:rsidRDefault="00A3260F" w:rsidP="00F33A67">
            <w:pPr>
              <w:snapToGrid w:val="0"/>
              <w:spacing w:before="40" w:after="4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55CEB50F" w14:textId="77777777" w:rsidR="009C51B7" w:rsidRPr="003B506B" w:rsidRDefault="009C51B7" w:rsidP="009C51B7">
            <w:pPr>
              <w:pStyle w:val="ListParagraph"/>
              <w:numPr>
                <w:ilvl w:val="0"/>
                <w:numId w:val="38"/>
              </w:numPr>
              <w:autoSpaceDE w:val="0"/>
              <w:autoSpaceDN w:val="0"/>
              <w:spacing w:after="160" w:line="259" w:lineRule="auto"/>
              <w:ind w:left="567"/>
              <w:contextualSpacing/>
              <w:jc w:val="both"/>
              <w:rPr>
                <w:color w:val="000000"/>
                <w:lang w:bidi="fa-IR"/>
              </w:rPr>
            </w:pPr>
            <w:r>
              <w:rPr>
                <w:color w:val="000000"/>
                <w:lang w:bidi="fa-IR"/>
              </w:rPr>
              <w:t>Broadband</w:t>
            </w:r>
            <w:r w:rsidRPr="003B506B">
              <w:rPr>
                <w:color w:val="000000"/>
                <w:lang w:bidi="fa-IR"/>
              </w:rPr>
              <w:t xml:space="preserve"> Regulatory challenges</w:t>
            </w:r>
          </w:p>
          <w:p w14:paraId="7604EF31" w14:textId="77777777" w:rsidR="009C51B7" w:rsidRPr="003B506B" w:rsidRDefault="009C51B7" w:rsidP="009C51B7">
            <w:pPr>
              <w:pStyle w:val="ListParagraph"/>
              <w:numPr>
                <w:ilvl w:val="0"/>
                <w:numId w:val="38"/>
              </w:numPr>
              <w:autoSpaceDE w:val="0"/>
              <w:autoSpaceDN w:val="0"/>
              <w:spacing w:after="160" w:line="259" w:lineRule="auto"/>
              <w:ind w:left="567"/>
              <w:contextualSpacing/>
              <w:jc w:val="both"/>
              <w:rPr>
                <w:color w:val="000000"/>
                <w:lang w:bidi="fa-IR"/>
              </w:rPr>
            </w:pPr>
            <w:r w:rsidRPr="003B506B">
              <w:rPr>
                <w:color w:val="000000"/>
                <w:lang w:bidi="fa-IR"/>
              </w:rPr>
              <w:t xml:space="preserve">Use of </w:t>
            </w:r>
            <w:r>
              <w:rPr>
                <w:color w:val="000000"/>
                <w:lang w:bidi="fa-IR"/>
              </w:rPr>
              <w:t>Fixed</w:t>
            </w:r>
            <w:r w:rsidRPr="003B506B">
              <w:rPr>
                <w:color w:val="000000"/>
                <w:lang w:bidi="fa-IR"/>
              </w:rPr>
              <w:t xml:space="preserve"> or </w:t>
            </w:r>
            <w:r>
              <w:rPr>
                <w:color w:val="000000"/>
                <w:lang w:bidi="fa-IR"/>
              </w:rPr>
              <w:t>Mobile</w:t>
            </w:r>
            <w:r w:rsidRPr="003B506B">
              <w:rPr>
                <w:color w:val="000000"/>
                <w:lang w:bidi="fa-IR"/>
              </w:rPr>
              <w:t xml:space="preserve"> </w:t>
            </w:r>
            <w:r>
              <w:rPr>
                <w:color w:val="000000"/>
                <w:lang w:bidi="fa-IR"/>
              </w:rPr>
              <w:t>Broadband</w:t>
            </w:r>
            <w:r w:rsidRPr="003B506B">
              <w:rPr>
                <w:color w:val="000000"/>
                <w:lang w:bidi="fa-IR"/>
              </w:rPr>
              <w:t xml:space="preserve"> with the highest efficiency depending on the location</w:t>
            </w:r>
          </w:p>
          <w:p w14:paraId="36591679" w14:textId="77777777" w:rsidR="009C51B7" w:rsidRPr="003B506B" w:rsidRDefault="009C51B7" w:rsidP="009C51B7">
            <w:pPr>
              <w:pStyle w:val="ListParagraph"/>
              <w:numPr>
                <w:ilvl w:val="0"/>
                <w:numId w:val="38"/>
              </w:numPr>
              <w:autoSpaceDE w:val="0"/>
              <w:autoSpaceDN w:val="0"/>
              <w:spacing w:after="160" w:line="259" w:lineRule="auto"/>
              <w:ind w:left="567"/>
              <w:contextualSpacing/>
              <w:jc w:val="both"/>
              <w:rPr>
                <w:color w:val="000000"/>
                <w:lang w:bidi="fa-IR"/>
              </w:rPr>
            </w:pPr>
            <w:r w:rsidRPr="003B506B">
              <w:rPr>
                <w:color w:val="000000"/>
                <w:lang w:bidi="fa-IR"/>
              </w:rPr>
              <w:t xml:space="preserve">The effect of the price of </w:t>
            </w:r>
            <w:r>
              <w:rPr>
                <w:color w:val="000000"/>
                <w:lang w:bidi="fa-IR"/>
              </w:rPr>
              <w:t>Fixed</w:t>
            </w:r>
            <w:r w:rsidRPr="003B506B">
              <w:rPr>
                <w:color w:val="000000"/>
                <w:lang w:bidi="fa-IR"/>
              </w:rPr>
              <w:t xml:space="preserve"> and </w:t>
            </w:r>
            <w:r>
              <w:rPr>
                <w:color w:val="000000"/>
                <w:lang w:bidi="fa-IR"/>
              </w:rPr>
              <w:t>Mobile</w:t>
            </w:r>
            <w:r w:rsidRPr="003B506B">
              <w:rPr>
                <w:color w:val="000000"/>
                <w:lang w:bidi="fa-IR"/>
              </w:rPr>
              <w:t xml:space="preserve"> </w:t>
            </w:r>
            <w:r>
              <w:rPr>
                <w:color w:val="000000"/>
                <w:lang w:bidi="fa-IR"/>
              </w:rPr>
              <w:t>Broadband</w:t>
            </w:r>
            <w:r w:rsidRPr="003B506B">
              <w:rPr>
                <w:color w:val="000000"/>
                <w:lang w:bidi="fa-IR"/>
              </w:rPr>
              <w:t xml:space="preserve"> on each other</w:t>
            </w:r>
          </w:p>
          <w:p w14:paraId="12BFFA8C" w14:textId="77777777" w:rsidR="009C51B7" w:rsidRPr="003B506B" w:rsidRDefault="009C51B7" w:rsidP="009C51B7">
            <w:pPr>
              <w:pStyle w:val="ListParagraph"/>
              <w:numPr>
                <w:ilvl w:val="0"/>
                <w:numId w:val="38"/>
              </w:numPr>
              <w:autoSpaceDE w:val="0"/>
              <w:autoSpaceDN w:val="0"/>
              <w:spacing w:after="160" w:line="259" w:lineRule="auto"/>
              <w:ind w:left="567"/>
              <w:contextualSpacing/>
              <w:jc w:val="both"/>
              <w:rPr>
                <w:color w:val="000000"/>
                <w:rtl/>
                <w:lang w:bidi="fa-IR"/>
              </w:rPr>
            </w:pPr>
            <w:r w:rsidRPr="003B506B">
              <w:rPr>
                <w:color w:val="000000"/>
                <w:lang w:bidi="fa-IR"/>
              </w:rPr>
              <w:t>Best Practices, experiences of countries and assessment of standards and requirements for the implementation of the fiber optics access network</w:t>
            </w:r>
          </w:p>
          <w:p w14:paraId="69FB977C" w14:textId="77777777" w:rsidR="009C51B7" w:rsidRPr="003B506B" w:rsidRDefault="009C51B7" w:rsidP="009C51B7">
            <w:pPr>
              <w:pStyle w:val="ListParagraph"/>
              <w:numPr>
                <w:ilvl w:val="0"/>
                <w:numId w:val="38"/>
              </w:numPr>
              <w:autoSpaceDE w:val="0"/>
              <w:autoSpaceDN w:val="0"/>
              <w:spacing w:after="160" w:line="259" w:lineRule="auto"/>
              <w:ind w:left="567"/>
              <w:contextualSpacing/>
              <w:jc w:val="both"/>
              <w:rPr>
                <w:color w:val="000000"/>
                <w:lang w:bidi="fa-IR"/>
              </w:rPr>
            </w:pPr>
            <w:r w:rsidRPr="003B506B">
              <w:rPr>
                <w:color w:val="000000"/>
                <w:lang w:bidi="fa-IR"/>
              </w:rPr>
              <w:t xml:space="preserve">Methods of using the inter-sectional and non-telecomm facilities and capacities </w:t>
            </w:r>
          </w:p>
          <w:p w14:paraId="73EF6CF3" w14:textId="77777777" w:rsidR="009C51B7" w:rsidRPr="003B506B" w:rsidRDefault="009C51B7" w:rsidP="009C51B7">
            <w:pPr>
              <w:pStyle w:val="ListParagraph"/>
              <w:numPr>
                <w:ilvl w:val="0"/>
                <w:numId w:val="38"/>
              </w:numPr>
              <w:autoSpaceDE w:val="0"/>
              <w:autoSpaceDN w:val="0"/>
              <w:spacing w:after="160" w:line="259" w:lineRule="auto"/>
              <w:ind w:left="567"/>
              <w:contextualSpacing/>
              <w:jc w:val="both"/>
              <w:rPr>
                <w:color w:val="000000"/>
                <w:lang w:bidi="fa-IR"/>
              </w:rPr>
            </w:pPr>
            <w:r w:rsidRPr="003B506B">
              <w:rPr>
                <w:color w:val="000000"/>
                <w:lang w:bidi="fa-IR"/>
              </w:rPr>
              <w:t xml:space="preserve">Tariffs and demand stimulation policies in retail and wholesale on </w:t>
            </w:r>
            <w:r>
              <w:rPr>
                <w:color w:val="000000"/>
                <w:lang w:bidi="fa-IR"/>
              </w:rPr>
              <w:t>Fixed</w:t>
            </w:r>
            <w:r w:rsidRPr="003B506B">
              <w:rPr>
                <w:color w:val="000000"/>
                <w:lang w:bidi="fa-IR"/>
              </w:rPr>
              <w:t xml:space="preserve"> or </w:t>
            </w:r>
            <w:r>
              <w:rPr>
                <w:color w:val="000000"/>
                <w:lang w:bidi="fa-IR"/>
              </w:rPr>
              <w:t>Mobile</w:t>
            </w:r>
            <w:r w:rsidRPr="003B506B">
              <w:rPr>
                <w:color w:val="000000"/>
                <w:lang w:bidi="fa-IR"/>
              </w:rPr>
              <w:t xml:space="preserve"> </w:t>
            </w:r>
            <w:r>
              <w:rPr>
                <w:color w:val="000000"/>
                <w:lang w:bidi="fa-IR"/>
              </w:rPr>
              <w:t>Broadband</w:t>
            </w:r>
          </w:p>
          <w:p w14:paraId="6943ABF8" w14:textId="7418B49E" w:rsidR="00A625AC" w:rsidRDefault="009C51B7" w:rsidP="00A625AC">
            <w:pPr>
              <w:pStyle w:val="ListParagraph"/>
              <w:numPr>
                <w:ilvl w:val="0"/>
                <w:numId w:val="38"/>
              </w:numPr>
              <w:autoSpaceDE w:val="0"/>
              <w:autoSpaceDN w:val="0"/>
              <w:spacing w:after="160" w:line="259" w:lineRule="auto"/>
              <w:ind w:left="567"/>
              <w:contextualSpacing/>
              <w:jc w:val="both"/>
              <w:rPr>
                <w:color w:val="000000"/>
                <w:lang w:bidi="fa-IR"/>
              </w:rPr>
            </w:pPr>
            <w:r w:rsidRPr="003B506B">
              <w:rPr>
                <w:color w:val="000000"/>
                <w:lang w:bidi="fa-IR"/>
              </w:rPr>
              <w:t xml:space="preserve">Terms and methods of support and how to allocate subsidies, government aid and financial resources to </w:t>
            </w:r>
            <w:r>
              <w:rPr>
                <w:color w:val="000000"/>
                <w:lang w:bidi="fa-IR"/>
              </w:rPr>
              <w:t>Broadband</w:t>
            </w:r>
            <w:r w:rsidRPr="003B506B">
              <w:rPr>
                <w:color w:val="000000"/>
                <w:lang w:bidi="fa-IR"/>
              </w:rPr>
              <w:t xml:space="preserve"> </w:t>
            </w:r>
            <w:r w:rsidR="003A440D" w:rsidRPr="003B506B">
              <w:rPr>
                <w:color w:val="000000"/>
                <w:lang w:bidi="fa-IR"/>
              </w:rPr>
              <w:t>development.</w:t>
            </w:r>
          </w:p>
          <w:p w14:paraId="5576B163" w14:textId="322C4872" w:rsidR="00346E45" w:rsidRPr="00346E45" w:rsidRDefault="00346E45" w:rsidP="00346E45">
            <w:pPr>
              <w:pStyle w:val="ListParagraph"/>
              <w:numPr>
                <w:ilvl w:val="0"/>
                <w:numId w:val="38"/>
              </w:numPr>
              <w:autoSpaceDE w:val="0"/>
              <w:autoSpaceDN w:val="0"/>
              <w:spacing w:after="160" w:line="259" w:lineRule="auto"/>
              <w:ind w:left="567"/>
              <w:contextualSpacing/>
              <w:jc w:val="both"/>
              <w:rPr>
                <w:color w:val="000000"/>
                <w:lang w:bidi="fa-IR"/>
              </w:rPr>
            </w:pPr>
            <w:r w:rsidRPr="00F01DBB">
              <w:rPr>
                <w:color w:val="000000"/>
                <w:lang w:bidi="fa-IR"/>
              </w:rPr>
              <w:t>Smart solution for optimizing and improving Broadband connectivity like FMC &amp; etc.</w:t>
            </w:r>
          </w:p>
          <w:p w14:paraId="446EE930" w14:textId="394747B4" w:rsidR="00A3260F" w:rsidRPr="00C0391F" w:rsidRDefault="00A3260F" w:rsidP="00C0391F">
            <w:pPr>
              <w:spacing w:after="160" w:line="259" w:lineRule="auto"/>
              <w:contextualSpacing/>
              <w:jc w:val="both"/>
              <w:rPr>
                <w:color w:val="000000"/>
                <w:lang w:bidi="fa-IR"/>
              </w:rPr>
            </w:pPr>
          </w:p>
        </w:tc>
      </w:tr>
      <w:tr w:rsidR="00A3260F" w:rsidRPr="0096298D" w14:paraId="1213445B" w14:textId="77777777" w:rsidTr="00F33A67">
        <w:trPr>
          <w:trHeight w:val="1187"/>
        </w:trPr>
        <w:tc>
          <w:tcPr>
            <w:tcW w:w="2425" w:type="dxa"/>
            <w:tcBorders>
              <w:top w:val="single" w:sz="4" w:space="0" w:color="auto"/>
              <w:left w:val="single" w:sz="4" w:space="0" w:color="auto"/>
              <w:bottom w:val="single" w:sz="4" w:space="0" w:color="auto"/>
              <w:right w:val="single" w:sz="4" w:space="0" w:color="auto"/>
            </w:tcBorders>
          </w:tcPr>
          <w:p w14:paraId="5F8E604A" w14:textId="77777777" w:rsidR="00A3260F" w:rsidRPr="0096298D" w:rsidRDefault="00A3260F" w:rsidP="00F33A67">
            <w:pPr>
              <w:snapToGrid w:val="0"/>
              <w:spacing w:before="40" w:after="40"/>
              <w:rPr>
                <w:rFonts w:eastAsia="휴먼명조"/>
                <w:b/>
                <w:color w:val="000000"/>
                <w:lang w:val="en-AU"/>
              </w:rPr>
            </w:pPr>
            <w:r>
              <w:rPr>
                <w:rFonts w:eastAsia="휴먼명조"/>
                <w:b/>
                <w:color w:val="000000"/>
                <w:lang w:val="en-AU"/>
              </w:rPr>
              <w:lastRenderedPageBreak/>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7410EB65" w14:textId="6719F8DC" w:rsidR="00A3260F" w:rsidRPr="0087478E" w:rsidRDefault="00A3260F" w:rsidP="00F33A67">
            <w:pPr>
              <w:spacing w:after="160" w:line="259" w:lineRule="auto"/>
              <w:contextualSpacing/>
              <w:jc w:val="both"/>
              <w:rPr>
                <w:color w:val="000000"/>
              </w:rPr>
            </w:pPr>
            <w:r w:rsidRPr="0087478E">
              <w:rPr>
                <w:color w:val="000000"/>
              </w:rPr>
              <w:t xml:space="preserve">Most countries have limited financial resources and are interested in getting best results from investing in fiber optic infrastructure. There are also some regulatory challenges for tariffs and active and passive sharing policies in wholesale and retail. Also in some countries, FTTx has met with a cold </w:t>
            </w:r>
            <w:r w:rsidR="00554813" w:rsidRPr="0087478E">
              <w:rPr>
                <w:color w:val="000000"/>
              </w:rPr>
              <w:t>reception,</w:t>
            </w:r>
            <w:r w:rsidRPr="0087478E">
              <w:rPr>
                <w:color w:val="000000"/>
              </w:rPr>
              <w:t xml:space="preserve"> and they need a demand stimulation policy. Return of Investment (RoI) is important to investors and service providers and in contrary overbuilding reduce the profitability. Also fiber development in villages and rural areas is not very profitable and require government subsidies or USO allocation, which these challenges require further studies and sharing the best practices.</w:t>
            </w:r>
          </w:p>
          <w:p w14:paraId="48236CD7" w14:textId="77777777" w:rsidR="00A3260F" w:rsidRPr="0096298D" w:rsidRDefault="00A3260F" w:rsidP="00F33A67">
            <w:pPr>
              <w:widowControl w:val="0"/>
              <w:overflowPunct w:val="0"/>
              <w:autoSpaceDE w:val="0"/>
              <w:autoSpaceDN w:val="0"/>
              <w:adjustRightInd w:val="0"/>
              <w:snapToGrid w:val="0"/>
              <w:spacing w:before="40" w:after="40"/>
              <w:jc w:val="both"/>
              <w:textAlignment w:val="baseline"/>
              <w:rPr>
                <w:lang w:val="en-AU" w:eastAsia="ko-KR"/>
              </w:rPr>
            </w:pPr>
            <w:r w:rsidRPr="0087478E">
              <w:rPr>
                <w:color w:val="000000"/>
              </w:rPr>
              <w:t>These studies will therefore help SATRC members to take advantage of best practices for FTTx development.</w:t>
            </w:r>
          </w:p>
        </w:tc>
      </w:tr>
      <w:tr w:rsidR="00A3260F" w:rsidRPr="0096298D" w14:paraId="35C0B760" w14:textId="77777777" w:rsidTr="00F33A67">
        <w:trPr>
          <w:trHeight w:val="728"/>
        </w:trPr>
        <w:tc>
          <w:tcPr>
            <w:tcW w:w="2425" w:type="dxa"/>
            <w:tcBorders>
              <w:top w:val="single" w:sz="4" w:space="0" w:color="auto"/>
              <w:left w:val="single" w:sz="4" w:space="0" w:color="auto"/>
              <w:bottom w:val="single" w:sz="4" w:space="0" w:color="auto"/>
              <w:right w:val="single" w:sz="4" w:space="0" w:color="auto"/>
            </w:tcBorders>
          </w:tcPr>
          <w:p w14:paraId="08321F25" w14:textId="77777777" w:rsidR="00A3260F" w:rsidRPr="0096298D" w:rsidRDefault="00A3260F" w:rsidP="00F33A67">
            <w:pPr>
              <w:snapToGrid w:val="0"/>
              <w:spacing w:before="40" w:after="40"/>
              <w:rPr>
                <w:rFonts w:eastAsia="휴먼명조"/>
                <w:b/>
                <w:color w:val="000000"/>
                <w:lang w:val="en-AU"/>
              </w:rPr>
            </w:pPr>
            <w:r w:rsidRPr="003247FB">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tcPr>
          <w:p w14:paraId="7EA76832" w14:textId="77777777"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draft Questionnaire (April 2024)</w:t>
            </w:r>
          </w:p>
          <w:p w14:paraId="1DE690FC" w14:textId="70A954CC"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Approval of the Questionnaire at the first meeting of the Working Group on PRS (May 2024)</w:t>
            </w:r>
          </w:p>
          <w:p w14:paraId="0B7E4427" w14:textId="77777777" w:rsidR="00F82919"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Circulation of the Questionnaire to SATRC Members (May 2024) </w:t>
            </w:r>
          </w:p>
          <w:p w14:paraId="060B3BD4" w14:textId="2D53FDAC"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Response to the Questionnaire received from SATRC Members (August 2024) </w:t>
            </w:r>
          </w:p>
          <w:p w14:paraId="71FA380B" w14:textId="2257FFDF"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first version of the draft Report (November 2024) Discussion on the first version of the draft Report (February 2025) </w:t>
            </w:r>
          </w:p>
          <w:p w14:paraId="1974A355" w14:textId="03AB9EB5"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second version of the draft Report (April 2025)</w:t>
            </w:r>
          </w:p>
          <w:p w14:paraId="7366D740" w14:textId="29649939"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second version of the draft Report (May 2025) </w:t>
            </w:r>
          </w:p>
          <w:p w14:paraId="3A90A7FE" w14:textId="07158B0C"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third version of the draft Report (June 2025) </w:t>
            </w:r>
          </w:p>
          <w:p w14:paraId="6CAE59BF" w14:textId="4588EA3F"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third version of the draft Report (July 2025) </w:t>
            </w:r>
          </w:p>
          <w:p w14:paraId="1781188B" w14:textId="0511E6A7" w:rsidR="00101180" w:rsidRPr="00B05DF2"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final version of draft report (August 2025)</w:t>
            </w:r>
          </w:p>
          <w:p w14:paraId="05E177E1" w14:textId="02911CBE" w:rsidR="00A3260F" w:rsidRPr="00101180" w:rsidRDefault="00101180" w:rsidP="00101180">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Approval of the final version of draft report in the second meeting of the Working Group on </w:t>
            </w:r>
            <w:r w:rsidR="00D97BF6" w:rsidRPr="00B05DF2">
              <w:rPr>
                <w:lang w:val="en-AU" w:eastAsia="ko-KR"/>
              </w:rPr>
              <w:t>PRS</w:t>
            </w:r>
            <w:r w:rsidRPr="00B05DF2">
              <w:rPr>
                <w:lang w:val="en-AU" w:eastAsia="ko-KR"/>
              </w:rPr>
              <w:t xml:space="preserve"> (September 2025)</w:t>
            </w:r>
          </w:p>
        </w:tc>
      </w:tr>
      <w:tr w:rsidR="00A3260F" w:rsidRPr="0096298D" w14:paraId="6B64311B" w14:textId="77777777" w:rsidTr="00F33A67">
        <w:trPr>
          <w:trHeight w:val="809"/>
        </w:trPr>
        <w:tc>
          <w:tcPr>
            <w:tcW w:w="2425" w:type="dxa"/>
            <w:tcBorders>
              <w:top w:val="single" w:sz="4" w:space="0" w:color="auto"/>
              <w:left w:val="single" w:sz="4" w:space="0" w:color="auto"/>
              <w:bottom w:val="single" w:sz="4" w:space="0" w:color="auto"/>
              <w:right w:val="single" w:sz="4" w:space="0" w:color="auto"/>
            </w:tcBorders>
          </w:tcPr>
          <w:p w14:paraId="3D47A00A" w14:textId="77777777" w:rsidR="00A3260F" w:rsidRPr="0096298D" w:rsidRDefault="00A3260F" w:rsidP="00F33A67">
            <w:pPr>
              <w:snapToGrid w:val="0"/>
              <w:spacing w:before="40" w:after="40"/>
              <w:rPr>
                <w:rFonts w:eastAsia="휴먼명조"/>
                <w:b/>
                <w:color w:val="000000"/>
                <w:lang w:val="en-AU"/>
              </w:rPr>
            </w:pPr>
            <w:r w:rsidRPr="003247FB">
              <w:rPr>
                <w:rFonts w:eastAsia="Batang"/>
                <w:b/>
              </w:rPr>
              <w:t>Utilization of Output</w:t>
            </w:r>
          </w:p>
        </w:tc>
        <w:tc>
          <w:tcPr>
            <w:tcW w:w="7020" w:type="dxa"/>
            <w:tcBorders>
              <w:top w:val="single" w:sz="4" w:space="0" w:color="auto"/>
              <w:left w:val="single" w:sz="4" w:space="0" w:color="auto"/>
              <w:bottom w:val="single" w:sz="4" w:space="0" w:color="auto"/>
              <w:right w:val="single" w:sz="4" w:space="0" w:color="auto"/>
            </w:tcBorders>
          </w:tcPr>
          <w:p w14:paraId="7FD36204" w14:textId="11E3DB6D" w:rsidR="00A3260F" w:rsidRPr="0096298D" w:rsidRDefault="00AF6FE6" w:rsidP="00F33A67">
            <w:pPr>
              <w:widowControl w:val="0"/>
              <w:overflowPunct w:val="0"/>
              <w:autoSpaceDE w:val="0"/>
              <w:autoSpaceDN w:val="0"/>
              <w:adjustRightInd w:val="0"/>
              <w:snapToGrid w:val="0"/>
              <w:spacing w:before="40" w:after="40"/>
              <w:jc w:val="both"/>
              <w:textAlignment w:val="baseline"/>
              <w:rPr>
                <w:lang w:val="en-AU"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p>
        </w:tc>
      </w:tr>
    </w:tbl>
    <w:p w14:paraId="148A3921" w14:textId="77777777" w:rsidR="00A3260F" w:rsidRDefault="00A3260F" w:rsidP="00957A88">
      <w:pPr>
        <w:tabs>
          <w:tab w:val="left" w:pos="567"/>
        </w:tabs>
        <w:rPr>
          <w:b/>
          <w:bCs/>
          <w:lang w:eastAsia="ko-KR"/>
        </w:rPr>
      </w:pPr>
    </w:p>
    <w:p w14:paraId="369B3208" w14:textId="77777777" w:rsidR="00252489" w:rsidRDefault="00252489" w:rsidP="00957A88">
      <w:pPr>
        <w:tabs>
          <w:tab w:val="left" w:pos="567"/>
        </w:tabs>
        <w:rPr>
          <w:b/>
          <w:bCs/>
          <w:lang w:eastAsia="ko-KR"/>
        </w:rPr>
      </w:pPr>
    </w:p>
    <w:tbl>
      <w:tblPr>
        <w:tblStyle w:val="TableGrid"/>
        <w:tblW w:w="0" w:type="auto"/>
        <w:tblLook w:val="04A0" w:firstRow="1" w:lastRow="0" w:firstColumn="1" w:lastColumn="0" w:noHBand="0" w:noVBand="1"/>
      </w:tblPr>
      <w:tblGrid>
        <w:gridCol w:w="2751"/>
        <w:gridCol w:w="6412"/>
      </w:tblGrid>
      <w:tr w:rsidR="009F4019" w14:paraId="75C00CF2" w14:textId="77777777" w:rsidTr="009F4019">
        <w:tc>
          <w:tcPr>
            <w:tcW w:w="2808" w:type="dxa"/>
            <w:shd w:val="clear" w:color="auto" w:fill="D9D9D9" w:themeFill="background1" w:themeFillShade="D9"/>
          </w:tcPr>
          <w:p w14:paraId="3FA4AFDF" w14:textId="337C5AFD" w:rsidR="009F4019" w:rsidRDefault="009F4019" w:rsidP="009F4019">
            <w:pPr>
              <w:tabs>
                <w:tab w:val="left" w:pos="567"/>
              </w:tabs>
              <w:rPr>
                <w:b/>
                <w:bCs/>
                <w:lang w:eastAsia="ko-KR"/>
              </w:rPr>
            </w:pPr>
            <w:r w:rsidRPr="003247FB">
              <w:rPr>
                <w:b/>
                <w:lang w:val="en-AU"/>
              </w:rPr>
              <w:t xml:space="preserve">Work Item </w:t>
            </w:r>
          </w:p>
        </w:tc>
        <w:tc>
          <w:tcPr>
            <w:tcW w:w="6570" w:type="dxa"/>
            <w:shd w:val="clear" w:color="auto" w:fill="D9D9D9" w:themeFill="background1" w:themeFillShade="D9"/>
            <w:vAlign w:val="center"/>
          </w:tcPr>
          <w:p w14:paraId="2BFBCBA4" w14:textId="2F472D7A" w:rsidR="009F4019" w:rsidRDefault="009F4019" w:rsidP="009F4019">
            <w:pPr>
              <w:tabs>
                <w:tab w:val="left" w:pos="567"/>
              </w:tabs>
              <w:rPr>
                <w:b/>
                <w:bCs/>
                <w:lang w:eastAsia="ko-KR"/>
              </w:rPr>
            </w:pPr>
            <w:r>
              <w:rPr>
                <w:rFonts w:eastAsia="Batang"/>
                <w:b/>
                <w:bCs/>
                <w:lang w:eastAsia="ko-KR"/>
              </w:rPr>
              <w:t>Enhancing the Utilization of Universal Service Obligation Fund for Digital Inclusion</w:t>
            </w:r>
          </w:p>
        </w:tc>
      </w:tr>
      <w:tr w:rsidR="009F4019" w14:paraId="7CA4DC44" w14:textId="77777777" w:rsidTr="007947BD">
        <w:tc>
          <w:tcPr>
            <w:tcW w:w="2808" w:type="dxa"/>
            <w:shd w:val="clear" w:color="auto" w:fill="FFFFFF" w:themeFill="background1"/>
          </w:tcPr>
          <w:p w14:paraId="63BD8CDC" w14:textId="100C056F" w:rsidR="009F4019" w:rsidRDefault="009F4019" w:rsidP="009F4019">
            <w:pPr>
              <w:tabs>
                <w:tab w:val="left" w:pos="567"/>
              </w:tabs>
              <w:rPr>
                <w:b/>
                <w:bCs/>
                <w:lang w:eastAsia="ko-KR"/>
              </w:rPr>
            </w:pPr>
            <w:r>
              <w:rPr>
                <w:b/>
                <w:lang w:val="en-AU"/>
              </w:rPr>
              <w:t>Lead</w:t>
            </w:r>
            <w:r w:rsidR="00A26A21">
              <w:rPr>
                <w:b/>
                <w:lang w:val="en-AU"/>
              </w:rPr>
              <w:t xml:space="preserve"> Expert</w:t>
            </w:r>
          </w:p>
        </w:tc>
        <w:tc>
          <w:tcPr>
            <w:tcW w:w="6570" w:type="dxa"/>
            <w:shd w:val="clear" w:color="auto" w:fill="FFFFFF" w:themeFill="background1"/>
            <w:vAlign w:val="center"/>
          </w:tcPr>
          <w:p w14:paraId="79D1B1F4" w14:textId="3B71AD8D" w:rsidR="009F4019" w:rsidRPr="00691D95" w:rsidRDefault="00CF2BDA" w:rsidP="009F4019">
            <w:pPr>
              <w:tabs>
                <w:tab w:val="left" w:pos="567"/>
              </w:tabs>
              <w:rPr>
                <w:lang w:eastAsia="ko-KR"/>
              </w:rPr>
            </w:pPr>
            <w:r w:rsidRPr="00691D95">
              <w:rPr>
                <w:lang w:eastAsia="ko-KR"/>
              </w:rPr>
              <w:t>Mr. Shishir Kansal, TRAI (India)</w:t>
            </w:r>
          </w:p>
        </w:tc>
      </w:tr>
      <w:tr w:rsidR="009F4019" w:rsidRPr="005C39E4" w14:paraId="230B7037" w14:textId="77777777" w:rsidTr="007947BD">
        <w:tc>
          <w:tcPr>
            <w:tcW w:w="2808" w:type="dxa"/>
            <w:shd w:val="clear" w:color="auto" w:fill="FFFFFF" w:themeFill="background1"/>
          </w:tcPr>
          <w:p w14:paraId="5BA31C01" w14:textId="42EF8BF6" w:rsidR="009F4019" w:rsidRDefault="00A26A21" w:rsidP="009F4019">
            <w:pPr>
              <w:tabs>
                <w:tab w:val="left" w:pos="567"/>
              </w:tabs>
              <w:rPr>
                <w:b/>
                <w:bCs/>
                <w:lang w:eastAsia="ko-KR"/>
              </w:rPr>
            </w:pPr>
            <w:r>
              <w:rPr>
                <w:b/>
                <w:bCs/>
                <w:lang w:eastAsia="ko-KR"/>
              </w:rPr>
              <w:t>Co-Lead Expert</w:t>
            </w:r>
          </w:p>
        </w:tc>
        <w:tc>
          <w:tcPr>
            <w:tcW w:w="6570" w:type="dxa"/>
            <w:shd w:val="clear" w:color="auto" w:fill="FFFFFF" w:themeFill="background1"/>
            <w:vAlign w:val="center"/>
          </w:tcPr>
          <w:p w14:paraId="1B764395" w14:textId="28A47D2E" w:rsidR="009F4019" w:rsidRPr="00691D95" w:rsidRDefault="005C39E4" w:rsidP="009F4019">
            <w:pPr>
              <w:tabs>
                <w:tab w:val="left" w:pos="567"/>
              </w:tabs>
              <w:rPr>
                <w:lang w:eastAsia="ko-KR"/>
              </w:rPr>
            </w:pPr>
            <w:r w:rsidRPr="00691D95">
              <w:rPr>
                <w:lang w:eastAsia="ko-KR"/>
              </w:rPr>
              <w:t>Ms. K.S.M Vishakha, TRC (Sri Lanka)</w:t>
            </w:r>
            <w:r w:rsidRPr="00691D95">
              <w:rPr>
                <w:lang w:eastAsia="ko-KR"/>
              </w:rPr>
              <w:br/>
              <w:t>Ms. Jyotirma Shresh</w:t>
            </w:r>
            <w:r w:rsidR="00872631" w:rsidRPr="00691D95">
              <w:rPr>
                <w:lang w:eastAsia="ko-KR"/>
              </w:rPr>
              <w:t>tha, NTA (Nepal)</w:t>
            </w:r>
          </w:p>
        </w:tc>
      </w:tr>
      <w:tr w:rsidR="00F76E49" w14:paraId="2C1DCC47" w14:textId="77777777" w:rsidTr="005143EB">
        <w:tc>
          <w:tcPr>
            <w:tcW w:w="2808" w:type="dxa"/>
            <w:vAlign w:val="center"/>
          </w:tcPr>
          <w:p w14:paraId="08DCB398" w14:textId="5BCB8D7B" w:rsidR="00F76E49" w:rsidRDefault="00F76E49" w:rsidP="00F76E49">
            <w:pPr>
              <w:tabs>
                <w:tab w:val="left" w:pos="567"/>
              </w:tabs>
              <w:rPr>
                <w:b/>
                <w:bCs/>
                <w:lang w:eastAsia="ko-KR"/>
              </w:rPr>
            </w:pPr>
            <w:r w:rsidRPr="003247FB">
              <w:rPr>
                <w:b/>
                <w:lang w:val="en-AU"/>
              </w:rPr>
              <w:t>Proposed by</w:t>
            </w:r>
          </w:p>
        </w:tc>
        <w:tc>
          <w:tcPr>
            <w:tcW w:w="6570" w:type="dxa"/>
            <w:vAlign w:val="center"/>
          </w:tcPr>
          <w:p w14:paraId="15E277E2" w14:textId="2AFF930F" w:rsidR="00F76E49" w:rsidRDefault="00F76E49" w:rsidP="00F76E49">
            <w:pPr>
              <w:tabs>
                <w:tab w:val="left" w:pos="567"/>
              </w:tabs>
              <w:rPr>
                <w:b/>
                <w:bCs/>
                <w:lang w:eastAsia="ko-KR"/>
              </w:rPr>
            </w:pPr>
            <w:r>
              <w:t>Nepal Telecommunications Authority (NTA)</w:t>
            </w:r>
          </w:p>
        </w:tc>
      </w:tr>
      <w:tr w:rsidR="00F76E49" w14:paraId="7B6099AD" w14:textId="77777777" w:rsidTr="005143EB">
        <w:tc>
          <w:tcPr>
            <w:tcW w:w="2808" w:type="dxa"/>
            <w:vAlign w:val="center"/>
          </w:tcPr>
          <w:p w14:paraId="0E329BF5" w14:textId="29B96517" w:rsidR="00F76E49" w:rsidRDefault="00F76E49" w:rsidP="00F76E49">
            <w:pPr>
              <w:tabs>
                <w:tab w:val="left" w:pos="567"/>
              </w:tabs>
              <w:rPr>
                <w:b/>
                <w:bCs/>
                <w:lang w:eastAsia="ko-KR"/>
              </w:rPr>
            </w:pPr>
            <w:r w:rsidRPr="003247FB">
              <w:rPr>
                <w:rFonts w:eastAsia="휴먼명조"/>
                <w:b/>
                <w:color w:val="000000"/>
                <w:lang w:val="en-AU"/>
              </w:rPr>
              <w:t>Responsible Working Group</w:t>
            </w:r>
          </w:p>
        </w:tc>
        <w:tc>
          <w:tcPr>
            <w:tcW w:w="6570" w:type="dxa"/>
            <w:vAlign w:val="center"/>
          </w:tcPr>
          <w:p w14:paraId="4695C984" w14:textId="4867F780" w:rsidR="00F76E49" w:rsidRDefault="00F76E49" w:rsidP="00F76E49">
            <w:pPr>
              <w:tabs>
                <w:tab w:val="left" w:pos="567"/>
              </w:tabs>
              <w:rPr>
                <w:b/>
                <w:bCs/>
                <w:lang w:eastAsia="ko-KR"/>
              </w:rPr>
            </w:pPr>
            <w:r w:rsidRPr="003247FB">
              <w:rPr>
                <w:rFonts w:eastAsia="Times New Roman"/>
                <w:lang w:val="en-AU" w:eastAsia="zh-CN"/>
              </w:rPr>
              <w:t>WG Policy, Regulation and Services</w:t>
            </w:r>
          </w:p>
        </w:tc>
      </w:tr>
      <w:tr w:rsidR="00F76E49" w14:paraId="7D8821F3" w14:textId="77777777" w:rsidTr="005143EB">
        <w:tc>
          <w:tcPr>
            <w:tcW w:w="2808" w:type="dxa"/>
            <w:vAlign w:val="center"/>
          </w:tcPr>
          <w:p w14:paraId="43F4820D" w14:textId="578EC2AA" w:rsidR="00F76E49" w:rsidRDefault="00F76E49" w:rsidP="00F76E49">
            <w:pPr>
              <w:tabs>
                <w:tab w:val="left" w:pos="567"/>
              </w:tabs>
              <w:rPr>
                <w:b/>
                <w:bCs/>
                <w:lang w:eastAsia="ko-KR"/>
              </w:rPr>
            </w:pPr>
            <w:r w:rsidRPr="003247FB">
              <w:rPr>
                <w:rFonts w:eastAsia="휴먼명조"/>
                <w:b/>
                <w:color w:val="000000"/>
                <w:lang w:val="en-AU"/>
              </w:rPr>
              <w:t>Output</w:t>
            </w:r>
          </w:p>
        </w:tc>
        <w:tc>
          <w:tcPr>
            <w:tcW w:w="6570" w:type="dxa"/>
            <w:vAlign w:val="center"/>
          </w:tcPr>
          <w:p w14:paraId="162DFE79" w14:textId="1ACED372" w:rsidR="00F76E49" w:rsidRDefault="00F76E49" w:rsidP="00F76E49">
            <w:pPr>
              <w:tabs>
                <w:tab w:val="left" w:pos="567"/>
              </w:tabs>
              <w:rPr>
                <w:b/>
                <w:bCs/>
                <w:lang w:eastAsia="ko-KR"/>
              </w:rPr>
            </w:pPr>
            <w:r w:rsidRPr="003247FB">
              <w:rPr>
                <w:lang w:val="en-AU" w:eastAsia="ko-KR"/>
              </w:rPr>
              <w:t>Report / Guideline / Recommendation</w:t>
            </w:r>
          </w:p>
        </w:tc>
      </w:tr>
      <w:tr w:rsidR="00701D44" w14:paraId="4CCDCBBB" w14:textId="77777777" w:rsidTr="00252489">
        <w:tc>
          <w:tcPr>
            <w:tcW w:w="2808" w:type="dxa"/>
          </w:tcPr>
          <w:p w14:paraId="748DB565" w14:textId="2752F4B3" w:rsidR="00701D44" w:rsidRDefault="00701D44" w:rsidP="00701D44">
            <w:pPr>
              <w:tabs>
                <w:tab w:val="left" w:pos="567"/>
              </w:tabs>
              <w:rPr>
                <w:b/>
                <w:bCs/>
                <w:lang w:eastAsia="ko-KR"/>
              </w:rPr>
            </w:pPr>
            <w:r w:rsidRPr="003247FB">
              <w:rPr>
                <w:rFonts w:eastAsia="휴먼명조"/>
                <w:b/>
                <w:color w:val="000000"/>
                <w:lang w:val="en-AU"/>
              </w:rPr>
              <w:t>Background and Purpose</w:t>
            </w:r>
          </w:p>
        </w:tc>
        <w:tc>
          <w:tcPr>
            <w:tcW w:w="6570" w:type="dxa"/>
          </w:tcPr>
          <w:p w14:paraId="7B74D9A0" w14:textId="348238AA" w:rsidR="00701D44" w:rsidRDefault="00701D44" w:rsidP="00636703">
            <w:pPr>
              <w:tabs>
                <w:tab w:val="left" w:pos="567"/>
              </w:tabs>
              <w:jc w:val="both"/>
              <w:rPr>
                <w:b/>
                <w:bCs/>
                <w:lang w:eastAsia="ko-KR"/>
              </w:rPr>
            </w:pPr>
            <w:r w:rsidRPr="00953086">
              <w:rPr>
                <w:lang w:val="en-AU" w:eastAsia="ko-KR"/>
              </w:rPr>
              <w:t>The Universal Service</w:t>
            </w:r>
            <w:r>
              <w:rPr>
                <w:lang w:val="en-AU" w:eastAsia="ko-KR"/>
              </w:rPr>
              <w:t xml:space="preserve"> Obligation</w:t>
            </w:r>
            <w:r w:rsidRPr="00953086">
              <w:rPr>
                <w:lang w:val="en-AU" w:eastAsia="ko-KR"/>
              </w:rPr>
              <w:t xml:space="preserve"> Fund (US</w:t>
            </w:r>
            <w:r>
              <w:rPr>
                <w:lang w:val="en-AU" w:eastAsia="ko-KR"/>
              </w:rPr>
              <w:t>O</w:t>
            </w:r>
            <w:r w:rsidRPr="00953086">
              <w:rPr>
                <w:lang w:val="en-AU" w:eastAsia="ko-KR"/>
              </w:rPr>
              <w:t xml:space="preserve">F) is a vital mechanism that aims to bridge the digital divide and ensure equitable access to telecommunications and information services. </w:t>
            </w:r>
            <w:r w:rsidRPr="00953086">
              <w:rPr>
                <w:lang w:val="en-AU" w:eastAsia="ko-KR"/>
              </w:rPr>
              <w:lastRenderedPageBreak/>
              <w:t>It is a fund created by governments or regulatory bodies, usually through contributions from telecommunication service providers, to promote universal access to communication infrastructure and services. As members of the SATRC (South Asian Telecommunication Regulators' Council), studying the utilization of the US</w:t>
            </w:r>
            <w:r>
              <w:rPr>
                <w:lang w:val="en-AU" w:eastAsia="ko-KR"/>
              </w:rPr>
              <w:t>O</w:t>
            </w:r>
            <w:r w:rsidRPr="00953086">
              <w:rPr>
                <w:lang w:val="en-AU" w:eastAsia="ko-KR"/>
              </w:rPr>
              <w:t>F and identifying strategies to enhance its effectiveness can significantly contribute to digital inclusion efforts in the region. This study topic focuses on analyzing the current utilization of the US</w:t>
            </w:r>
            <w:r>
              <w:rPr>
                <w:lang w:val="en-AU" w:eastAsia="ko-KR"/>
              </w:rPr>
              <w:t>O</w:t>
            </w:r>
            <w:r w:rsidRPr="00953086">
              <w:rPr>
                <w:lang w:val="en-AU" w:eastAsia="ko-KR"/>
              </w:rPr>
              <w:t>F and developing recommendations to optimize its impact.</w:t>
            </w:r>
          </w:p>
        </w:tc>
      </w:tr>
      <w:tr w:rsidR="00A136D9" w14:paraId="32ADB419" w14:textId="77777777" w:rsidTr="00252489">
        <w:tc>
          <w:tcPr>
            <w:tcW w:w="2808" w:type="dxa"/>
          </w:tcPr>
          <w:p w14:paraId="6BDDAABA" w14:textId="3B45EC36" w:rsidR="00A136D9" w:rsidRDefault="00A136D9" w:rsidP="00A136D9">
            <w:pPr>
              <w:tabs>
                <w:tab w:val="left" w:pos="567"/>
              </w:tabs>
              <w:rPr>
                <w:b/>
                <w:bCs/>
                <w:lang w:eastAsia="ko-KR"/>
              </w:rPr>
            </w:pPr>
            <w:r w:rsidRPr="003247FB">
              <w:rPr>
                <w:rFonts w:eastAsia="휴먼명조"/>
                <w:b/>
                <w:color w:val="000000"/>
                <w:lang w:val="en-AU"/>
              </w:rPr>
              <w:lastRenderedPageBreak/>
              <w:t>Scope</w:t>
            </w:r>
          </w:p>
        </w:tc>
        <w:tc>
          <w:tcPr>
            <w:tcW w:w="6570" w:type="dxa"/>
          </w:tcPr>
          <w:p w14:paraId="7D52F3AA" w14:textId="77777777" w:rsidR="001F34D5" w:rsidRDefault="001F34D5" w:rsidP="00A136D9">
            <w:pPr>
              <w:tabs>
                <w:tab w:val="left" w:pos="567"/>
              </w:tabs>
              <w:rPr>
                <w:b/>
                <w:bCs/>
                <w:lang w:val="en-AU" w:eastAsia="ko-KR"/>
              </w:rPr>
            </w:pPr>
          </w:p>
          <w:p w14:paraId="1C5949C2" w14:textId="7B27F42D" w:rsidR="001F34D5" w:rsidRDefault="001F34D5" w:rsidP="00A136D9">
            <w:pPr>
              <w:tabs>
                <w:tab w:val="left" w:pos="567"/>
              </w:tabs>
              <w:rPr>
                <w:b/>
                <w:bCs/>
                <w:lang w:val="en-AU" w:eastAsia="ko-KR"/>
              </w:rPr>
            </w:pPr>
            <w:r w:rsidRPr="001F34D5">
              <w:rPr>
                <w:b/>
                <w:bCs/>
                <w:lang w:val="en-AU" w:eastAsia="ko-KR"/>
              </w:rPr>
              <w:t>1.</w:t>
            </w:r>
            <w:r w:rsidRPr="001F34D5">
              <w:rPr>
                <w:b/>
                <w:bCs/>
                <w:lang w:val="en-AU" w:eastAsia="ko-KR"/>
              </w:rPr>
              <w:tab/>
              <w:t>Assess the Current Utilization of USOF:</w:t>
            </w:r>
          </w:p>
          <w:p w14:paraId="26117655" w14:textId="66FA5085" w:rsidR="008F7383" w:rsidRPr="000A22B9" w:rsidRDefault="00636703" w:rsidP="00724F9D">
            <w:pPr>
              <w:pStyle w:val="ListParagraph"/>
              <w:numPr>
                <w:ilvl w:val="0"/>
                <w:numId w:val="32"/>
              </w:numPr>
              <w:tabs>
                <w:tab w:val="left" w:pos="567"/>
              </w:tabs>
              <w:jc w:val="both"/>
              <w:rPr>
                <w:lang w:val="en-AU" w:eastAsia="ko-KR"/>
              </w:rPr>
            </w:pPr>
            <w:r>
              <w:rPr>
                <w:lang w:val="en-AU" w:eastAsia="ko-KR"/>
              </w:rPr>
              <w:t xml:space="preserve">   </w:t>
            </w:r>
            <w:r w:rsidR="008F7383" w:rsidRPr="000A22B9">
              <w:rPr>
                <w:lang w:val="en-AU" w:eastAsia="ko-KR"/>
              </w:rPr>
              <w:t xml:space="preserve">Evaluate the transparency and accountability of USOF management. </w:t>
            </w:r>
          </w:p>
          <w:p w14:paraId="39FC666F" w14:textId="2D22C907" w:rsidR="000A22B9" w:rsidRPr="000A22B9" w:rsidRDefault="00636703" w:rsidP="00724F9D">
            <w:pPr>
              <w:pStyle w:val="ListParagraph"/>
              <w:numPr>
                <w:ilvl w:val="0"/>
                <w:numId w:val="32"/>
              </w:numPr>
              <w:tabs>
                <w:tab w:val="left" w:pos="567"/>
              </w:tabs>
              <w:jc w:val="both"/>
              <w:rPr>
                <w:lang w:val="en-AU" w:eastAsia="ko-KR"/>
              </w:rPr>
            </w:pPr>
            <w:r>
              <w:rPr>
                <w:lang w:val="en-AU" w:eastAsia="ko-KR"/>
              </w:rPr>
              <w:t xml:space="preserve">   </w:t>
            </w:r>
            <w:r w:rsidR="008F7383" w:rsidRPr="000A22B9">
              <w:rPr>
                <w:lang w:val="en-AU" w:eastAsia="ko-KR"/>
              </w:rPr>
              <w:t>Analyse the allocation and disbursement mechanisms of</w:t>
            </w:r>
            <w:r>
              <w:rPr>
                <w:lang w:val="en-AU" w:eastAsia="ko-KR"/>
              </w:rPr>
              <w:t xml:space="preserve"> </w:t>
            </w:r>
            <w:r w:rsidR="008F7383" w:rsidRPr="000A22B9">
              <w:rPr>
                <w:lang w:val="en-AU" w:eastAsia="ko-KR"/>
              </w:rPr>
              <w:t xml:space="preserve">USOF funds. </w:t>
            </w:r>
          </w:p>
          <w:p w14:paraId="0C52E4A8" w14:textId="7922FB75" w:rsidR="008F7383" w:rsidRPr="000A22B9" w:rsidRDefault="00636703" w:rsidP="00724F9D">
            <w:pPr>
              <w:pStyle w:val="ListParagraph"/>
              <w:numPr>
                <w:ilvl w:val="0"/>
                <w:numId w:val="32"/>
              </w:numPr>
              <w:tabs>
                <w:tab w:val="left" w:pos="567"/>
              </w:tabs>
              <w:jc w:val="both"/>
              <w:rPr>
                <w:lang w:val="en-AU" w:eastAsia="ko-KR"/>
              </w:rPr>
            </w:pPr>
            <w:r>
              <w:rPr>
                <w:lang w:val="en-AU" w:eastAsia="ko-KR"/>
              </w:rPr>
              <w:t xml:space="preserve">   </w:t>
            </w:r>
            <w:r w:rsidR="008F7383" w:rsidRPr="000A22B9">
              <w:rPr>
                <w:lang w:val="en-AU" w:eastAsia="ko-KR"/>
              </w:rPr>
              <w:t xml:space="preserve">Assess the effectiveness of existing USOF projects in promoting digital inclusion. </w:t>
            </w:r>
          </w:p>
          <w:p w14:paraId="68B78BC6" w14:textId="0B518505" w:rsidR="008F7383" w:rsidRDefault="00636703" w:rsidP="00724F9D">
            <w:pPr>
              <w:pStyle w:val="ListParagraph"/>
              <w:numPr>
                <w:ilvl w:val="0"/>
                <w:numId w:val="32"/>
              </w:numPr>
              <w:tabs>
                <w:tab w:val="left" w:pos="567"/>
              </w:tabs>
              <w:jc w:val="both"/>
              <w:rPr>
                <w:lang w:val="en-AU" w:eastAsia="ko-KR"/>
              </w:rPr>
            </w:pPr>
            <w:r>
              <w:rPr>
                <w:lang w:val="en-AU" w:eastAsia="ko-KR"/>
              </w:rPr>
              <w:t xml:space="preserve">   </w:t>
            </w:r>
            <w:r w:rsidR="008F7383" w:rsidRPr="000A22B9">
              <w:rPr>
                <w:lang w:val="en-AU" w:eastAsia="ko-KR"/>
              </w:rPr>
              <w:t>Identify any challenges or barriers in the utilization of USOF</w:t>
            </w:r>
          </w:p>
          <w:p w14:paraId="655997CB" w14:textId="77777777" w:rsidR="00724F9D" w:rsidRPr="00636703" w:rsidRDefault="00724F9D" w:rsidP="00724F9D">
            <w:pPr>
              <w:pStyle w:val="ListParagraph"/>
              <w:tabs>
                <w:tab w:val="left" w:pos="567"/>
              </w:tabs>
              <w:rPr>
                <w:lang w:val="en-AU" w:eastAsia="ko-KR"/>
              </w:rPr>
            </w:pPr>
          </w:p>
          <w:p w14:paraId="07E7FAB1" w14:textId="13243122" w:rsidR="008F7383" w:rsidRDefault="008F7383" w:rsidP="00A136D9">
            <w:pPr>
              <w:tabs>
                <w:tab w:val="left" w:pos="567"/>
              </w:tabs>
              <w:rPr>
                <w:b/>
                <w:bCs/>
                <w:lang w:eastAsia="ko-KR"/>
              </w:rPr>
            </w:pPr>
            <w:r w:rsidRPr="008F7383">
              <w:rPr>
                <w:b/>
                <w:bCs/>
                <w:lang w:eastAsia="ko-KR"/>
              </w:rPr>
              <w:t>2.</w:t>
            </w:r>
            <w:r w:rsidRPr="008F7383">
              <w:rPr>
                <w:b/>
                <w:bCs/>
                <w:lang w:eastAsia="ko-KR"/>
              </w:rPr>
              <w:tab/>
              <w:t>Identify Best Practices:</w:t>
            </w:r>
          </w:p>
          <w:p w14:paraId="5C277B7F" w14:textId="01597BFD" w:rsidR="000A22B9" w:rsidRPr="000A22B9" w:rsidRDefault="00636703" w:rsidP="00724F9D">
            <w:pPr>
              <w:pStyle w:val="ListParagraph"/>
              <w:numPr>
                <w:ilvl w:val="0"/>
                <w:numId w:val="33"/>
              </w:numPr>
              <w:tabs>
                <w:tab w:val="left" w:pos="567"/>
              </w:tabs>
              <w:jc w:val="both"/>
              <w:rPr>
                <w:lang w:eastAsia="ko-KR"/>
              </w:rPr>
            </w:pPr>
            <w:r>
              <w:rPr>
                <w:lang w:eastAsia="ko-KR"/>
              </w:rPr>
              <w:t xml:space="preserve">   </w:t>
            </w:r>
            <w:r w:rsidR="000A22B9" w:rsidRPr="000A22B9">
              <w:rPr>
                <w:lang w:eastAsia="ko-KR"/>
              </w:rPr>
              <w:t xml:space="preserve">Study successful international case studies where USOF has been effectively utilized for digital inclusion. </w:t>
            </w:r>
          </w:p>
          <w:p w14:paraId="71B9AFB2" w14:textId="12114C6E" w:rsidR="000A22B9" w:rsidRPr="000A22B9" w:rsidRDefault="00636703" w:rsidP="00724F9D">
            <w:pPr>
              <w:pStyle w:val="ListParagraph"/>
              <w:numPr>
                <w:ilvl w:val="0"/>
                <w:numId w:val="33"/>
              </w:numPr>
              <w:tabs>
                <w:tab w:val="left" w:pos="567"/>
              </w:tabs>
              <w:jc w:val="both"/>
              <w:rPr>
                <w:lang w:eastAsia="ko-KR"/>
              </w:rPr>
            </w:pPr>
            <w:r>
              <w:rPr>
                <w:lang w:eastAsia="ko-KR"/>
              </w:rPr>
              <w:t xml:space="preserve">   </w:t>
            </w:r>
            <w:r w:rsidR="000A22B9" w:rsidRPr="000A22B9">
              <w:rPr>
                <w:lang w:eastAsia="ko-KR"/>
              </w:rPr>
              <w:t xml:space="preserve">Identify key factors contributing to the success of these initiatives. </w:t>
            </w:r>
          </w:p>
          <w:p w14:paraId="7B962377" w14:textId="30B7FA89" w:rsidR="000A22B9" w:rsidRPr="000A22B9" w:rsidRDefault="00636703" w:rsidP="00724F9D">
            <w:pPr>
              <w:pStyle w:val="ListParagraph"/>
              <w:numPr>
                <w:ilvl w:val="0"/>
                <w:numId w:val="33"/>
              </w:numPr>
              <w:tabs>
                <w:tab w:val="left" w:pos="567"/>
              </w:tabs>
              <w:jc w:val="both"/>
              <w:rPr>
                <w:lang w:eastAsia="ko-KR"/>
              </w:rPr>
            </w:pPr>
            <w:r>
              <w:rPr>
                <w:lang w:eastAsia="ko-KR"/>
              </w:rPr>
              <w:t xml:space="preserve">   </w:t>
            </w:r>
            <w:r w:rsidR="000A22B9" w:rsidRPr="000A22B9">
              <w:rPr>
                <w:lang w:eastAsia="ko-KR"/>
              </w:rPr>
              <w:t xml:space="preserve">Assess the applicability of these best practices to the SATRC member countries. </w:t>
            </w:r>
          </w:p>
          <w:p w14:paraId="041948D2" w14:textId="64663E5B" w:rsidR="008F7383" w:rsidRDefault="00636703" w:rsidP="00724F9D">
            <w:pPr>
              <w:pStyle w:val="ListParagraph"/>
              <w:numPr>
                <w:ilvl w:val="0"/>
                <w:numId w:val="33"/>
              </w:numPr>
              <w:tabs>
                <w:tab w:val="left" w:pos="567"/>
              </w:tabs>
              <w:jc w:val="both"/>
              <w:rPr>
                <w:lang w:eastAsia="ko-KR"/>
              </w:rPr>
            </w:pPr>
            <w:r>
              <w:rPr>
                <w:lang w:eastAsia="ko-KR"/>
              </w:rPr>
              <w:t xml:space="preserve">   </w:t>
            </w:r>
            <w:r w:rsidR="000A22B9" w:rsidRPr="000A22B9">
              <w:rPr>
                <w:lang w:eastAsia="ko-KR"/>
              </w:rPr>
              <w:t>Determine the potential impact of implementing these practices.</w:t>
            </w:r>
          </w:p>
          <w:p w14:paraId="7DAFA7BA" w14:textId="77777777" w:rsidR="00724F9D" w:rsidRPr="00636703" w:rsidRDefault="00724F9D" w:rsidP="00724F9D">
            <w:pPr>
              <w:pStyle w:val="ListParagraph"/>
              <w:tabs>
                <w:tab w:val="left" w:pos="567"/>
              </w:tabs>
              <w:rPr>
                <w:lang w:eastAsia="ko-KR"/>
              </w:rPr>
            </w:pPr>
          </w:p>
          <w:p w14:paraId="5F1E108D" w14:textId="4D89DBE7" w:rsidR="000A22B9" w:rsidRDefault="000A22B9" w:rsidP="00A136D9">
            <w:pPr>
              <w:tabs>
                <w:tab w:val="left" w:pos="567"/>
              </w:tabs>
              <w:rPr>
                <w:b/>
                <w:bCs/>
                <w:lang w:eastAsia="ko-KR"/>
              </w:rPr>
            </w:pPr>
            <w:r w:rsidRPr="000A22B9">
              <w:rPr>
                <w:b/>
                <w:bCs/>
                <w:lang w:eastAsia="ko-KR"/>
              </w:rPr>
              <w:t>3.</w:t>
            </w:r>
            <w:r w:rsidRPr="000A22B9">
              <w:rPr>
                <w:b/>
                <w:bCs/>
                <w:lang w:eastAsia="ko-KR"/>
              </w:rPr>
              <w:tab/>
              <w:t>Develop Strategies for Enhanced Utilization:</w:t>
            </w:r>
          </w:p>
          <w:p w14:paraId="6B810ED1" w14:textId="1C72AD51" w:rsidR="000A22B9" w:rsidRPr="000A22B9" w:rsidRDefault="00636703" w:rsidP="00724F9D">
            <w:pPr>
              <w:pStyle w:val="ListParagraph"/>
              <w:numPr>
                <w:ilvl w:val="0"/>
                <w:numId w:val="34"/>
              </w:numPr>
              <w:tabs>
                <w:tab w:val="left" w:pos="567"/>
              </w:tabs>
              <w:jc w:val="both"/>
              <w:rPr>
                <w:lang w:eastAsia="ko-KR"/>
              </w:rPr>
            </w:pPr>
            <w:r>
              <w:rPr>
                <w:lang w:eastAsia="ko-KR"/>
              </w:rPr>
              <w:t xml:space="preserve">   </w:t>
            </w:r>
            <w:r w:rsidR="000A22B9" w:rsidRPr="000A22B9">
              <w:rPr>
                <w:lang w:eastAsia="ko-KR"/>
              </w:rPr>
              <w:t xml:space="preserve">Propose policy and regulatory reforms to streamline USOF utilization. </w:t>
            </w:r>
          </w:p>
          <w:p w14:paraId="51225193" w14:textId="76670C99" w:rsidR="000A22B9" w:rsidRPr="000A22B9" w:rsidRDefault="00636703" w:rsidP="00724F9D">
            <w:pPr>
              <w:pStyle w:val="ListParagraph"/>
              <w:numPr>
                <w:ilvl w:val="0"/>
                <w:numId w:val="34"/>
              </w:numPr>
              <w:tabs>
                <w:tab w:val="left" w:pos="567"/>
              </w:tabs>
              <w:jc w:val="both"/>
              <w:rPr>
                <w:lang w:eastAsia="ko-KR"/>
              </w:rPr>
            </w:pPr>
            <w:r>
              <w:rPr>
                <w:lang w:eastAsia="ko-KR"/>
              </w:rPr>
              <w:t xml:space="preserve">   </w:t>
            </w:r>
            <w:r w:rsidR="000A22B9" w:rsidRPr="000A22B9">
              <w:rPr>
                <w:lang w:eastAsia="ko-KR"/>
              </w:rPr>
              <w:t xml:space="preserve">Recommend measures to improve transparency, accountability, and governance of USOF funds. </w:t>
            </w:r>
          </w:p>
          <w:p w14:paraId="2CA052BD" w14:textId="70306519" w:rsidR="000A22B9" w:rsidRPr="000A22B9" w:rsidRDefault="00636703" w:rsidP="00724F9D">
            <w:pPr>
              <w:pStyle w:val="ListParagraph"/>
              <w:numPr>
                <w:ilvl w:val="0"/>
                <w:numId w:val="34"/>
              </w:numPr>
              <w:tabs>
                <w:tab w:val="left" w:pos="567"/>
              </w:tabs>
              <w:jc w:val="both"/>
              <w:rPr>
                <w:lang w:eastAsia="ko-KR"/>
              </w:rPr>
            </w:pPr>
            <w:r>
              <w:rPr>
                <w:lang w:eastAsia="ko-KR"/>
              </w:rPr>
              <w:t xml:space="preserve">   </w:t>
            </w:r>
            <w:r w:rsidR="000A22B9" w:rsidRPr="000A22B9">
              <w:rPr>
                <w:lang w:eastAsia="ko-KR"/>
              </w:rPr>
              <w:t xml:space="preserve">Identify innovative approaches to prioritize and target USOF investments in underserved areas. </w:t>
            </w:r>
          </w:p>
          <w:p w14:paraId="67874579" w14:textId="5A937D67" w:rsidR="000A22B9" w:rsidRDefault="00636703" w:rsidP="00724F9D">
            <w:pPr>
              <w:pStyle w:val="ListParagraph"/>
              <w:numPr>
                <w:ilvl w:val="0"/>
                <w:numId w:val="34"/>
              </w:numPr>
              <w:tabs>
                <w:tab w:val="left" w:pos="567"/>
              </w:tabs>
              <w:jc w:val="both"/>
              <w:rPr>
                <w:lang w:eastAsia="ko-KR"/>
              </w:rPr>
            </w:pPr>
            <w:r>
              <w:rPr>
                <w:lang w:eastAsia="ko-KR"/>
              </w:rPr>
              <w:t xml:space="preserve">   </w:t>
            </w:r>
            <w:r w:rsidR="000A22B9" w:rsidRPr="000A22B9">
              <w:rPr>
                <w:lang w:eastAsia="ko-KR"/>
              </w:rPr>
              <w:t>Explore partnerships with private sector entities to leverage additional resources.</w:t>
            </w:r>
          </w:p>
          <w:p w14:paraId="4C892B80" w14:textId="77777777" w:rsidR="00724F9D" w:rsidRDefault="00724F9D" w:rsidP="00724F9D">
            <w:pPr>
              <w:pStyle w:val="ListParagraph"/>
              <w:tabs>
                <w:tab w:val="left" w:pos="567"/>
              </w:tabs>
              <w:rPr>
                <w:lang w:eastAsia="ko-KR"/>
              </w:rPr>
            </w:pPr>
          </w:p>
          <w:p w14:paraId="51AC7B24" w14:textId="7860E7A7" w:rsidR="000A22B9" w:rsidRDefault="000A22B9" w:rsidP="00A136D9">
            <w:pPr>
              <w:tabs>
                <w:tab w:val="left" w:pos="567"/>
              </w:tabs>
              <w:rPr>
                <w:b/>
                <w:bCs/>
                <w:lang w:eastAsia="ko-KR"/>
              </w:rPr>
            </w:pPr>
            <w:r w:rsidRPr="000A22B9">
              <w:rPr>
                <w:b/>
                <w:bCs/>
                <w:lang w:eastAsia="ko-KR"/>
              </w:rPr>
              <w:t>4.</w:t>
            </w:r>
            <w:r w:rsidRPr="000A22B9">
              <w:rPr>
                <w:b/>
                <w:bCs/>
                <w:lang w:eastAsia="ko-KR"/>
              </w:rPr>
              <w:tab/>
              <w:t>Address Technological Advancements:</w:t>
            </w:r>
          </w:p>
          <w:p w14:paraId="0AA01124" w14:textId="24343362" w:rsidR="000A22B9" w:rsidRPr="000A22B9" w:rsidRDefault="00636703" w:rsidP="00724F9D">
            <w:pPr>
              <w:pStyle w:val="ListParagraph"/>
              <w:numPr>
                <w:ilvl w:val="0"/>
                <w:numId w:val="35"/>
              </w:numPr>
              <w:tabs>
                <w:tab w:val="left" w:pos="567"/>
              </w:tabs>
              <w:jc w:val="both"/>
              <w:rPr>
                <w:lang w:eastAsia="ko-KR"/>
              </w:rPr>
            </w:pPr>
            <w:r>
              <w:rPr>
                <w:lang w:eastAsia="ko-KR"/>
              </w:rPr>
              <w:t xml:space="preserve">   </w:t>
            </w:r>
            <w:r w:rsidR="000A22B9" w:rsidRPr="000A22B9">
              <w:rPr>
                <w:lang w:eastAsia="ko-KR"/>
              </w:rPr>
              <w:t xml:space="preserve">Analyse emerging technologies and their implications for USOF utilization. </w:t>
            </w:r>
          </w:p>
          <w:p w14:paraId="39BE47BA" w14:textId="3B3D00E0" w:rsidR="000A22B9" w:rsidRPr="000A22B9" w:rsidRDefault="00636703" w:rsidP="00724F9D">
            <w:pPr>
              <w:pStyle w:val="ListParagraph"/>
              <w:numPr>
                <w:ilvl w:val="0"/>
                <w:numId w:val="35"/>
              </w:numPr>
              <w:tabs>
                <w:tab w:val="left" w:pos="567"/>
              </w:tabs>
              <w:jc w:val="both"/>
              <w:rPr>
                <w:lang w:eastAsia="ko-KR"/>
              </w:rPr>
            </w:pPr>
            <w:r>
              <w:rPr>
                <w:lang w:eastAsia="ko-KR"/>
              </w:rPr>
              <w:t xml:space="preserve">   </w:t>
            </w:r>
            <w:r w:rsidR="000A22B9" w:rsidRPr="000A22B9">
              <w:rPr>
                <w:lang w:eastAsia="ko-KR"/>
              </w:rPr>
              <w:t xml:space="preserve">Evaluate the need for adapting USOF policies to accommodate new technologies. </w:t>
            </w:r>
          </w:p>
          <w:p w14:paraId="53C94AD3" w14:textId="45CAA6B2" w:rsidR="000A22B9" w:rsidRDefault="00636703" w:rsidP="00724F9D">
            <w:pPr>
              <w:pStyle w:val="ListParagraph"/>
              <w:numPr>
                <w:ilvl w:val="0"/>
                <w:numId w:val="35"/>
              </w:numPr>
              <w:tabs>
                <w:tab w:val="left" w:pos="567"/>
              </w:tabs>
              <w:jc w:val="both"/>
              <w:rPr>
                <w:lang w:eastAsia="ko-KR"/>
              </w:rPr>
            </w:pPr>
            <w:r>
              <w:rPr>
                <w:lang w:eastAsia="ko-KR"/>
              </w:rPr>
              <w:t xml:space="preserve">   </w:t>
            </w:r>
            <w:r w:rsidR="000A22B9" w:rsidRPr="000A22B9">
              <w:rPr>
                <w:lang w:eastAsia="ko-KR"/>
              </w:rPr>
              <w:t>Identify areas of potential collaboration between USOF projects and emerging technology initiatives.</w:t>
            </w:r>
          </w:p>
          <w:p w14:paraId="04FE6447" w14:textId="77777777" w:rsidR="00724F9D" w:rsidRPr="00636703" w:rsidRDefault="00724F9D" w:rsidP="00724F9D">
            <w:pPr>
              <w:tabs>
                <w:tab w:val="left" w:pos="567"/>
              </w:tabs>
              <w:ind w:left="360"/>
              <w:jc w:val="both"/>
              <w:rPr>
                <w:lang w:eastAsia="ko-KR"/>
              </w:rPr>
            </w:pPr>
          </w:p>
          <w:p w14:paraId="69ADCAD6" w14:textId="2342D139" w:rsidR="000A22B9" w:rsidRDefault="000A22B9" w:rsidP="00A136D9">
            <w:pPr>
              <w:tabs>
                <w:tab w:val="left" w:pos="567"/>
              </w:tabs>
              <w:rPr>
                <w:b/>
                <w:bCs/>
                <w:lang w:eastAsia="ko-KR"/>
              </w:rPr>
            </w:pPr>
            <w:r w:rsidRPr="000A22B9">
              <w:rPr>
                <w:b/>
                <w:bCs/>
                <w:lang w:eastAsia="ko-KR"/>
              </w:rPr>
              <w:t>5.</w:t>
            </w:r>
            <w:r w:rsidRPr="000A22B9">
              <w:rPr>
                <w:b/>
                <w:bCs/>
                <w:lang w:eastAsia="ko-KR"/>
              </w:rPr>
              <w:tab/>
              <w:t>Stakeholder Engagement:</w:t>
            </w:r>
          </w:p>
          <w:p w14:paraId="5A54D137" w14:textId="2C8C2ED7" w:rsidR="000A22B9" w:rsidRPr="000A22B9" w:rsidRDefault="00636703" w:rsidP="00724F9D">
            <w:pPr>
              <w:pStyle w:val="ListParagraph"/>
              <w:numPr>
                <w:ilvl w:val="0"/>
                <w:numId w:val="36"/>
              </w:numPr>
              <w:tabs>
                <w:tab w:val="left" w:pos="567"/>
              </w:tabs>
              <w:jc w:val="both"/>
              <w:rPr>
                <w:lang w:eastAsia="ko-KR"/>
              </w:rPr>
            </w:pPr>
            <w:r>
              <w:rPr>
                <w:lang w:eastAsia="ko-KR"/>
              </w:rPr>
              <w:lastRenderedPageBreak/>
              <w:t xml:space="preserve">   </w:t>
            </w:r>
            <w:r w:rsidR="000A22B9" w:rsidRPr="000A22B9">
              <w:rPr>
                <w:lang w:eastAsia="ko-KR"/>
              </w:rPr>
              <w:t xml:space="preserve">Consult with relevant stakeholders, including telecommunications regulators, service providers, civil society organizations, and communities. </w:t>
            </w:r>
          </w:p>
          <w:p w14:paraId="02EB03ED" w14:textId="022B6146" w:rsidR="000A22B9" w:rsidRPr="000A22B9" w:rsidRDefault="00636703" w:rsidP="00724F9D">
            <w:pPr>
              <w:pStyle w:val="ListParagraph"/>
              <w:numPr>
                <w:ilvl w:val="0"/>
                <w:numId w:val="36"/>
              </w:numPr>
              <w:tabs>
                <w:tab w:val="left" w:pos="567"/>
              </w:tabs>
              <w:jc w:val="both"/>
              <w:rPr>
                <w:lang w:eastAsia="ko-KR"/>
              </w:rPr>
            </w:pPr>
            <w:r>
              <w:rPr>
                <w:lang w:eastAsia="ko-KR"/>
              </w:rPr>
              <w:t xml:space="preserve">   </w:t>
            </w:r>
            <w:r w:rsidR="000A22B9" w:rsidRPr="000A22B9">
              <w:rPr>
                <w:lang w:eastAsia="ko-KR"/>
              </w:rPr>
              <w:t xml:space="preserve">Gather inputs and insights from stakeholders to understand their perspectives and recommendations. </w:t>
            </w:r>
          </w:p>
          <w:p w14:paraId="06716AE1" w14:textId="00FA98BC" w:rsidR="000A22B9" w:rsidRDefault="00636703" w:rsidP="00724F9D">
            <w:pPr>
              <w:pStyle w:val="ListParagraph"/>
              <w:numPr>
                <w:ilvl w:val="0"/>
                <w:numId w:val="36"/>
              </w:numPr>
              <w:tabs>
                <w:tab w:val="left" w:pos="567"/>
              </w:tabs>
              <w:jc w:val="both"/>
              <w:rPr>
                <w:lang w:eastAsia="ko-KR"/>
              </w:rPr>
            </w:pPr>
            <w:r>
              <w:rPr>
                <w:lang w:eastAsia="ko-KR"/>
              </w:rPr>
              <w:t xml:space="preserve">   </w:t>
            </w:r>
            <w:r w:rsidR="000A22B9" w:rsidRPr="000A22B9">
              <w:rPr>
                <w:lang w:eastAsia="ko-KR"/>
              </w:rPr>
              <w:t>Encourage participation and collaboration among stakeholders in USOF utilization strategies.</w:t>
            </w:r>
          </w:p>
          <w:p w14:paraId="0BCB1B5D" w14:textId="77777777" w:rsidR="00724F9D" w:rsidRPr="00636703" w:rsidRDefault="00724F9D" w:rsidP="00724F9D">
            <w:pPr>
              <w:pStyle w:val="ListParagraph"/>
              <w:tabs>
                <w:tab w:val="left" w:pos="567"/>
              </w:tabs>
              <w:rPr>
                <w:lang w:eastAsia="ko-KR"/>
              </w:rPr>
            </w:pPr>
          </w:p>
          <w:p w14:paraId="2856D43E" w14:textId="4FFDA922" w:rsidR="000A22B9" w:rsidRPr="00724F9D" w:rsidRDefault="000A22B9" w:rsidP="000A22B9">
            <w:pPr>
              <w:pStyle w:val="ListParagraph"/>
              <w:numPr>
                <w:ilvl w:val="0"/>
                <w:numId w:val="31"/>
              </w:numPr>
              <w:tabs>
                <w:tab w:val="left" w:pos="567"/>
              </w:tabs>
              <w:rPr>
                <w:b/>
                <w:bCs/>
                <w:lang w:eastAsia="ko-KR"/>
              </w:rPr>
            </w:pPr>
            <w:r w:rsidRPr="000A22B9">
              <w:rPr>
                <w:b/>
                <w:bCs/>
                <w:lang w:eastAsia="ko-KR"/>
              </w:rPr>
              <w:t>Recommendations for SATRC Members:</w:t>
            </w:r>
          </w:p>
          <w:p w14:paraId="60A1AAC2" w14:textId="1F7C9F74" w:rsidR="000A22B9" w:rsidRPr="000A22B9" w:rsidRDefault="00636703" w:rsidP="00724F9D">
            <w:pPr>
              <w:pStyle w:val="ListParagraph"/>
              <w:numPr>
                <w:ilvl w:val="0"/>
                <w:numId w:val="37"/>
              </w:numPr>
              <w:tabs>
                <w:tab w:val="left" w:pos="567"/>
              </w:tabs>
              <w:jc w:val="both"/>
              <w:rPr>
                <w:lang w:eastAsia="ko-KR"/>
              </w:rPr>
            </w:pPr>
            <w:r>
              <w:rPr>
                <w:lang w:eastAsia="ko-KR"/>
              </w:rPr>
              <w:t xml:space="preserve">   </w:t>
            </w:r>
            <w:r w:rsidR="000A22B9" w:rsidRPr="000A22B9">
              <w:rPr>
                <w:lang w:eastAsia="ko-KR"/>
              </w:rPr>
              <w:t xml:space="preserve">Provide actionable recommendations for SATRC members to enhance the utilization of USOF in their respective countries. </w:t>
            </w:r>
          </w:p>
          <w:p w14:paraId="19DB6513" w14:textId="185B5A94" w:rsidR="000A22B9" w:rsidRPr="000A22B9" w:rsidRDefault="00636703" w:rsidP="00724F9D">
            <w:pPr>
              <w:pStyle w:val="ListParagraph"/>
              <w:numPr>
                <w:ilvl w:val="0"/>
                <w:numId w:val="37"/>
              </w:numPr>
              <w:tabs>
                <w:tab w:val="left" w:pos="567"/>
              </w:tabs>
              <w:jc w:val="both"/>
              <w:rPr>
                <w:lang w:eastAsia="ko-KR"/>
              </w:rPr>
            </w:pPr>
            <w:r>
              <w:rPr>
                <w:lang w:eastAsia="ko-KR"/>
              </w:rPr>
              <w:t xml:space="preserve">  </w:t>
            </w:r>
            <w:r w:rsidR="000A22B9" w:rsidRPr="000A22B9">
              <w:rPr>
                <w:lang w:eastAsia="ko-KR"/>
              </w:rPr>
              <w:t>Prioritize recommendations based on feasibility, impact, and regional context.</w:t>
            </w:r>
          </w:p>
          <w:p w14:paraId="51C79E46" w14:textId="77777777" w:rsidR="000A22B9" w:rsidRDefault="000A22B9" w:rsidP="00A136D9">
            <w:pPr>
              <w:tabs>
                <w:tab w:val="left" w:pos="567"/>
              </w:tabs>
              <w:rPr>
                <w:b/>
                <w:bCs/>
                <w:lang w:eastAsia="ko-KR"/>
              </w:rPr>
            </w:pPr>
          </w:p>
          <w:p w14:paraId="31EB8081" w14:textId="412C4BA1" w:rsidR="000A22B9" w:rsidRPr="000A22B9" w:rsidRDefault="000A22B9" w:rsidP="00636703">
            <w:pPr>
              <w:tabs>
                <w:tab w:val="left" w:pos="567"/>
              </w:tabs>
              <w:jc w:val="both"/>
              <w:rPr>
                <w:lang w:eastAsia="ko-KR"/>
              </w:rPr>
            </w:pPr>
            <w:r w:rsidRPr="000A22B9">
              <w:rPr>
                <w:lang w:eastAsia="ko-KR"/>
              </w:rPr>
              <w:t>By focusing on these scopes, the study will contribute to the SATRC members' understanding of the current state of USOF utilization and provide practical strategies for optimizing the fund's impact on digital inclusion. The findings can guide policymakers, regulators, and other relevant stakeholders in formulating evidence-based policies and initiatives that ensure equitable access to telecommunications and information services for all citizens.</w:t>
            </w:r>
          </w:p>
        </w:tc>
      </w:tr>
      <w:tr w:rsidR="008D6CB5" w14:paraId="1AB03E25" w14:textId="77777777" w:rsidTr="00C06DA0">
        <w:tc>
          <w:tcPr>
            <w:tcW w:w="2808" w:type="dxa"/>
            <w:vAlign w:val="center"/>
          </w:tcPr>
          <w:p w14:paraId="2DE212F1" w14:textId="54BA3D22" w:rsidR="008D6CB5" w:rsidRDefault="008D6CB5" w:rsidP="008D6CB5">
            <w:pPr>
              <w:tabs>
                <w:tab w:val="left" w:pos="567"/>
              </w:tabs>
              <w:rPr>
                <w:b/>
                <w:bCs/>
                <w:lang w:eastAsia="ko-KR"/>
              </w:rPr>
            </w:pPr>
            <w:r w:rsidRPr="003247FB">
              <w:rPr>
                <w:rFonts w:eastAsia="휴먼명조"/>
                <w:b/>
                <w:color w:val="000000"/>
                <w:lang w:val="en-AU"/>
              </w:rPr>
              <w:lastRenderedPageBreak/>
              <w:t>Time Frame</w:t>
            </w:r>
          </w:p>
        </w:tc>
        <w:tc>
          <w:tcPr>
            <w:tcW w:w="6570" w:type="dxa"/>
            <w:vAlign w:val="center"/>
          </w:tcPr>
          <w:p w14:paraId="074FE749"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draft Questionnaire (April 2024)</w:t>
            </w:r>
          </w:p>
          <w:p w14:paraId="1F6890DF"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Approval of the Questionnaire at the first meeting of the Working Group on PRS (May 2024)</w:t>
            </w:r>
          </w:p>
          <w:p w14:paraId="086CA21B" w14:textId="77777777" w:rsidR="00D839D5"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Circulation of the Questionnaire to SATRC Members (May 2024) </w:t>
            </w:r>
          </w:p>
          <w:p w14:paraId="098A7B14" w14:textId="10077052"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Response to the Questionnaire received from SATRC Members (August 2024) </w:t>
            </w:r>
          </w:p>
          <w:p w14:paraId="20A06D5C"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first version of the draft Report (November 2024) Discussion on the first version of the draft Report (February 2025) </w:t>
            </w:r>
          </w:p>
          <w:p w14:paraId="459013A6"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second version of the draft Report (April 2025)</w:t>
            </w:r>
          </w:p>
          <w:p w14:paraId="434EAE1B"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second version of the draft Report (May 2025) </w:t>
            </w:r>
          </w:p>
          <w:p w14:paraId="3C7A23BE"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third version of the draft Report (June 2025) </w:t>
            </w:r>
          </w:p>
          <w:p w14:paraId="34B9F303"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third version of the draft Report (July 2025) </w:t>
            </w:r>
          </w:p>
          <w:p w14:paraId="5CAC7C66" w14:textId="77777777" w:rsid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final version of draft report (August 2025)</w:t>
            </w:r>
          </w:p>
          <w:p w14:paraId="54FD764D" w14:textId="602D4BBD" w:rsidR="008D6CB5" w:rsidRP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55AC3">
              <w:rPr>
                <w:lang w:val="en-AU" w:eastAsia="ko-KR"/>
              </w:rPr>
              <w:t>Approval of the final version of draft report in the second meeting of the Working Group on PRS (September 2025)</w:t>
            </w:r>
          </w:p>
        </w:tc>
      </w:tr>
      <w:tr w:rsidR="008D6CB5" w14:paraId="79708660" w14:textId="77777777" w:rsidTr="00C06DA0">
        <w:tc>
          <w:tcPr>
            <w:tcW w:w="2808" w:type="dxa"/>
            <w:vAlign w:val="center"/>
          </w:tcPr>
          <w:p w14:paraId="330DD661" w14:textId="5D3DB6D9" w:rsidR="008D6CB5" w:rsidRDefault="008D6CB5" w:rsidP="008D6CB5">
            <w:pPr>
              <w:tabs>
                <w:tab w:val="left" w:pos="567"/>
              </w:tabs>
              <w:rPr>
                <w:b/>
                <w:bCs/>
                <w:lang w:eastAsia="ko-KR"/>
              </w:rPr>
            </w:pPr>
            <w:r w:rsidRPr="003247FB">
              <w:rPr>
                <w:rFonts w:eastAsia="휴먼명조"/>
                <w:b/>
                <w:color w:val="000000"/>
                <w:lang w:val="en-AU"/>
              </w:rPr>
              <w:t>Utilization of Output</w:t>
            </w:r>
          </w:p>
        </w:tc>
        <w:tc>
          <w:tcPr>
            <w:tcW w:w="6570" w:type="dxa"/>
            <w:vAlign w:val="center"/>
          </w:tcPr>
          <w:p w14:paraId="34E612EB" w14:textId="47C3F87D" w:rsidR="008D6CB5" w:rsidRDefault="00AF6FE6" w:rsidP="008D6CB5">
            <w:pPr>
              <w:tabs>
                <w:tab w:val="left" w:pos="567"/>
              </w:tabs>
              <w:rPr>
                <w:b/>
                <w:bCs/>
                <w:lang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p>
        </w:tc>
      </w:tr>
    </w:tbl>
    <w:p w14:paraId="4797C13D" w14:textId="77777777" w:rsidR="00252489" w:rsidRDefault="00252489" w:rsidP="00957A88">
      <w:pPr>
        <w:tabs>
          <w:tab w:val="left" w:pos="567"/>
        </w:tabs>
        <w:rPr>
          <w:b/>
          <w:bCs/>
          <w:lang w:eastAsia="ko-KR"/>
        </w:rPr>
      </w:pPr>
    </w:p>
    <w:p w14:paraId="7439627B" w14:textId="77777777" w:rsidR="00252489" w:rsidRDefault="00252489" w:rsidP="00957A88">
      <w:pPr>
        <w:tabs>
          <w:tab w:val="left" w:pos="567"/>
        </w:tabs>
      </w:pPr>
    </w:p>
    <w:p w14:paraId="264D611A" w14:textId="77777777" w:rsidR="00B54E5F" w:rsidRDefault="00B54E5F" w:rsidP="00B54E5F"/>
    <w:tbl>
      <w:tblPr>
        <w:tblStyle w:val="TableGrid"/>
        <w:tblW w:w="0" w:type="auto"/>
        <w:tblLook w:val="04A0" w:firstRow="1" w:lastRow="0" w:firstColumn="1" w:lastColumn="0" w:noHBand="0" w:noVBand="1"/>
      </w:tblPr>
      <w:tblGrid>
        <w:gridCol w:w="2737"/>
        <w:gridCol w:w="6426"/>
      </w:tblGrid>
      <w:tr w:rsidR="00F92598" w14:paraId="219E1F5C" w14:textId="77777777" w:rsidTr="00D43BE0">
        <w:tc>
          <w:tcPr>
            <w:tcW w:w="2737" w:type="dxa"/>
            <w:shd w:val="clear" w:color="auto" w:fill="D9D9D9" w:themeFill="background1" w:themeFillShade="D9"/>
          </w:tcPr>
          <w:p w14:paraId="37F736CB" w14:textId="159E8E11" w:rsidR="00F92598" w:rsidRDefault="00F92598" w:rsidP="00F92598">
            <w:r w:rsidRPr="003247FB">
              <w:rPr>
                <w:b/>
                <w:lang w:val="en-AU"/>
              </w:rPr>
              <w:lastRenderedPageBreak/>
              <w:t xml:space="preserve">Work Item </w:t>
            </w:r>
          </w:p>
        </w:tc>
        <w:tc>
          <w:tcPr>
            <w:tcW w:w="6426" w:type="dxa"/>
            <w:shd w:val="clear" w:color="auto" w:fill="D9D9D9" w:themeFill="background1" w:themeFillShade="D9"/>
            <w:vAlign w:val="center"/>
          </w:tcPr>
          <w:p w14:paraId="21FDD341" w14:textId="2B175832" w:rsidR="00F92598" w:rsidRDefault="00F92598" w:rsidP="00F92598">
            <w:r w:rsidRPr="00D20E5A">
              <w:rPr>
                <w:rFonts w:eastAsia="Times New Roman"/>
                <w:b/>
                <w:lang w:val="en-AU" w:eastAsia="zh-CN"/>
              </w:rPr>
              <w:t>Enhancing E-Waste Management Regulations for Sustainable Development</w:t>
            </w:r>
          </w:p>
        </w:tc>
      </w:tr>
      <w:tr w:rsidR="00F92598" w14:paraId="2FF50FB8" w14:textId="77777777" w:rsidTr="00D43BE0">
        <w:tc>
          <w:tcPr>
            <w:tcW w:w="2737" w:type="dxa"/>
            <w:shd w:val="clear" w:color="auto" w:fill="FFFFFF" w:themeFill="background1"/>
          </w:tcPr>
          <w:p w14:paraId="4A25CF7B" w14:textId="4BF42D86" w:rsidR="00F92598" w:rsidRDefault="00F92598" w:rsidP="00F92598">
            <w:r>
              <w:rPr>
                <w:b/>
                <w:lang w:val="en-AU"/>
              </w:rPr>
              <w:t>Lead</w:t>
            </w:r>
            <w:r w:rsidR="00872631">
              <w:rPr>
                <w:b/>
                <w:lang w:val="en-AU"/>
              </w:rPr>
              <w:t xml:space="preserve"> Expert</w:t>
            </w:r>
          </w:p>
        </w:tc>
        <w:tc>
          <w:tcPr>
            <w:tcW w:w="6426" w:type="dxa"/>
            <w:shd w:val="clear" w:color="auto" w:fill="FFFFFF" w:themeFill="background1"/>
            <w:vAlign w:val="center"/>
          </w:tcPr>
          <w:p w14:paraId="27959154" w14:textId="48E95962" w:rsidR="00F92598" w:rsidRDefault="00872631" w:rsidP="00F92598">
            <w:r>
              <w:t>Ms. Sabina Islam</w:t>
            </w:r>
            <w:r w:rsidR="007309DF">
              <w:t>, BTRC (Bangladesh)</w:t>
            </w:r>
          </w:p>
        </w:tc>
      </w:tr>
      <w:tr w:rsidR="00F92598" w:rsidRPr="00797939" w14:paraId="62A5E179" w14:textId="77777777" w:rsidTr="00D43BE0">
        <w:tc>
          <w:tcPr>
            <w:tcW w:w="2737" w:type="dxa"/>
            <w:shd w:val="clear" w:color="auto" w:fill="FFFFFF" w:themeFill="background1"/>
          </w:tcPr>
          <w:p w14:paraId="6768D544" w14:textId="472CC678" w:rsidR="00F92598" w:rsidRDefault="00872631" w:rsidP="00F92598">
            <w:r>
              <w:t>Co-Lead Expert</w:t>
            </w:r>
          </w:p>
        </w:tc>
        <w:tc>
          <w:tcPr>
            <w:tcW w:w="6426" w:type="dxa"/>
            <w:shd w:val="clear" w:color="auto" w:fill="FFFFFF" w:themeFill="background1"/>
            <w:vAlign w:val="center"/>
          </w:tcPr>
          <w:p w14:paraId="707375D8" w14:textId="77777777" w:rsidR="00F92598" w:rsidRDefault="007309DF" w:rsidP="00F92598">
            <w:r>
              <w:t>Mr. Muhammad Farhan Khan, PTA (Pakistan)</w:t>
            </w:r>
          </w:p>
          <w:p w14:paraId="3BCA8039" w14:textId="5C882A6B" w:rsidR="00797939" w:rsidRPr="00797939" w:rsidRDefault="00797939" w:rsidP="00F92598">
            <w:r w:rsidRPr="00797939">
              <w:t>Ms. Roja Kiran Basukala, NTA (Nepal</w:t>
            </w:r>
            <w:r>
              <w:t>)</w:t>
            </w:r>
          </w:p>
        </w:tc>
      </w:tr>
      <w:tr w:rsidR="00F92598" w14:paraId="46233A05" w14:textId="77777777" w:rsidTr="00D43BE0">
        <w:tc>
          <w:tcPr>
            <w:tcW w:w="2737" w:type="dxa"/>
            <w:vAlign w:val="center"/>
          </w:tcPr>
          <w:p w14:paraId="10C7C5D6" w14:textId="78E39261" w:rsidR="00F92598" w:rsidRDefault="00F92598" w:rsidP="00F92598">
            <w:r w:rsidRPr="003247FB">
              <w:rPr>
                <w:b/>
                <w:lang w:val="en-AU"/>
              </w:rPr>
              <w:t>Proposed by</w:t>
            </w:r>
          </w:p>
        </w:tc>
        <w:tc>
          <w:tcPr>
            <w:tcW w:w="6426" w:type="dxa"/>
            <w:vAlign w:val="center"/>
          </w:tcPr>
          <w:p w14:paraId="5AFD6547" w14:textId="4D738341" w:rsidR="00F92598" w:rsidRDefault="00F92598" w:rsidP="00F92598">
            <w:r>
              <w:t>Nepal Telecommunications Authority (NTA)</w:t>
            </w:r>
          </w:p>
        </w:tc>
      </w:tr>
      <w:tr w:rsidR="00F92598" w14:paraId="2E215396" w14:textId="77777777" w:rsidTr="00D43BE0">
        <w:tc>
          <w:tcPr>
            <w:tcW w:w="2737" w:type="dxa"/>
            <w:vAlign w:val="center"/>
          </w:tcPr>
          <w:p w14:paraId="5075BADD" w14:textId="637F43BB" w:rsidR="00F92598" w:rsidRDefault="00F92598" w:rsidP="00F92598">
            <w:r w:rsidRPr="003247FB">
              <w:rPr>
                <w:rFonts w:eastAsia="휴먼명조"/>
                <w:b/>
                <w:color w:val="000000"/>
                <w:lang w:val="en-AU"/>
              </w:rPr>
              <w:t>Responsible Working Group</w:t>
            </w:r>
          </w:p>
        </w:tc>
        <w:tc>
          <w:tcPr>
            <w:tcW w:w="6426" w:type="dxa"/>
            <w:vAlign w:val="center"/>
          </w:tcPr>
          <w:p w14:paraId="4F8EA373" w14:textId="24564516" w:rsidR="00F92598" w:rsidRDefault="00F92598" w:rsidP="00F92598">
            <w:r w:rsidRPr="003247FB">
              <w:rPr>
                <w:rFonts w:eastAsia="Times New Roman"/>
                <w:lang w:val="en-AU" w:eastAsia="zh-CN"/>
              </w:rPr>
              <w:t>WG Policy, Regulation and Services</w:t>
            </w:r>
          </w:p>
        </w:tc>
      </w:tr>
      <w:tr w:rsidR="00F92598" w14:paraId="01A24D8C" w14:textId="77777777" w:rsidTr="00D43BE0">
        <w:tc>
          <w:tcPr>
            <w:tcW w:w="2737" w:type="dxa"/>
            <w:vAlign w:val="center"/>
          </w:tcPr>
          <w:p w14:paraId="4F906F0B" w14:textId="1CA522E7" w:rsidR="00F92598" w:rsidRDefault="00F92598" w:rsidP="00F92598">
            <w:r w:rsidRPr="003247FB">
              <w:rPr>
                <w:rFonts w:eastAsia="휴먼명조"/>
                <w:b/>
                <w:color w:val="000000"/>
                <w:lang w:val="en-AU"/>
              </w:rPr>
              <w:t>Output</w:t>
            </w:r>
          </w:p>
        </w:tc>
        <w:tc>
          <w:tcPr>
            <w:tcW w:w="6426" w:type="dxa"/>
            <w:vAlign w:val="center"/>
          </w:tcPr>
          <w:p w14:paraId="7300D2C2" w14:textId="0638BD75" w:rsidR="00F92598" w:rsidRDefault="00F92598" w:rsidP="00F92598">
            <w:r w:rsidRPr="003247FB">
              <w:rPr>
                <w:lang w:val="en-AU" w:eastAsia="ko-KR"/>
              </w:rPr>
              <w:t>Report / Guideline / Recommendation</w:t>
            </w:r>
          </w:p>
        </w:tc>
      </w:tr>
      <w:tr w:rsidR="00F92598" w14:paraId="163A2766" w14:textId="77777777" w:rsidTr="00D43BE0">
        <w:tc>
          <w:tcPr>
            <w:tcW w:w="2737" w:type="dxa"/>
          </w:tcPr>
          <w:p w14:paraId="4A85AB15" w14:textId="49C8D432" w:rsidR="00F92598" w:rsidRDefault="00F92598" w:rsidP="00F92598">
            <w:r w:rsidRPr="003247FB">
              <w:rPr>
                <w:rFonts w:eastAsia="휴먼명조"/>
                <w:b/>
                <w:color w:val="000000"/>
                <w:lang w:val="en-AU"/>
              </w:rPr>
              <w:t>Background and Purpose</w:t>
            </w:r>
          </w:p>
        </w:tc>
        <w:tc>
          <w:tcPr>
            <w:tcW w:w="6426" w:type="dxa"/>
          </w:tcPr>
          <w:p w14:paraId="05011974" w14:textId="137355C9" w:rsidR="00F92598" w:rsidRDefault="00F92598" w:rsidP="00D20E5A">
            <w:pPr>
              <w:jc w:val="both"/>
            </w:pPr>
            <w:r>
              <w:t>The increasing volume of electronic waste (e-waste) poses significant environmental and health challenges worldwide. SATRC (South Asian Telecommunication Regulators' Council) members have a crucial role in promoting sustainable development within their countries. This study aims to investigate e-waste management regulations and identify opportunities to strengthen them, thereby facilitating effective e-waste management, resource recovery, and the promotion of a circular economy.</w:t>
            </w:r>
          </w:p>
        </w:tc>
      </w:tr>
      <w:tr w:rsidR="00F92598" w14:paraId="310407F8" w14:textId="77777777" w:rsidTr="00D43BE0">
        <w:tc>
          <w:tcPr>
            <w:tcW w:w="2737" w:type="dxa"/>
          </w:tcPr>
          <w:p w14:paraId="500626A1" w14:textId="60BBDEB3" w:rsidR="00F92598" w:rsidRDefault="00F92598" w:rsidP="00F92598">
            <w:r>
              <w:rPr>
                <w:rFonts w:eastAsia="휴먼명조"/>
                <w:b/>
                <w:color w:val="000000"/>
                <w:lang w:val="en-AU"/>
              </w:rPr>
              <w:t xml:space="preserve">Scope </w:t>
            </w:r>
          </w:p>
        </w:tc>
        <w:tc>
          <w:tcPr>
            <w:tcW w:w="6426" w:type="dxa"/>
          </w:tcPr>
          <w:p w14:paraId="225B6959" w14:textId="77777777" w:rsidR="00F92598" w:rsidRPr="00223AEF" w:rsidRDefault="00F92598" w:rsidP="00F92598">
            <w:pPr>
              <w:ind w:left="457" w:hanging="457"/>
              <w:rPr>
                <w:b/>
                <w:bCs/>
              </w:rPr>
            </w:pPr>
            <w:r w:rsidRPr="00223AEF">
              <w:rPr>
                <w:b/>
                <w:bCs/>
              </w:rPr>
              <w:t>1.  Evaluation of Current E-waste Management Practices:</w:t>
            </w:r>
          </w:p>
          <w:p w14:paraId="27E53986" w14:textId="77777777" w:rsidR="00F92598" w:rsidRDefault="00F92598" w:rsidP="00F92598">
            <w:pPr>
              <w:ind w:left="727" w:hanging="360"/>
              <w:jc w:val="both"/>
            </w:pPr>
            <w:r>
              <w:t xml:space="preserve">a. </w:t>
            </w:r>
            <w:r>
              <w:tab/>
              <w:t>Assess the existing e-waste management regulations and policies in SATRC member countries.</w:t>
            </w:r>
          </w:p>
          <w:p w14:paraId="1FDC9A61" w14:textId="77777777" w:rsidR="00F92598" w:rsidRDefault="00F92598" w:rsidP="00F92598">
            <w:pPr>
              <w:ind w:left="727" w:hanging="360"/>
              <w:jc w:val="both"/>
            </w:pPr>
            <w:r>
              <w:t xml:space="preserve">b. </w:t>
            </w:r>
            <w:r>
              <w:tab/>
              <w:t>Analyze the effectiveness of present practices in mitigating environmental and health risks associated with e-waste.</w:t>
            </w:r>
          </w:p>
          <w:p w14:paraId="6D1B46C3" w14:textId="77777777" w:rsidR="00F92598" w:rsidRDefault="00F92598" w:rsidP="00F92598">
            <w:pPr>
              <w:ind w:left="727" w:hanging="360"/>
              <w:jc w:val="both"/>
            </w:pPr>
            <w:r>
              <w:t xml:space="preserve">c. </w:t>
            </w:r>
            <w:r>
              <w:tab/>
              <w:t>Determine the level of compliance and enforcement of e-waste regulations.</w:t>
            </w:r>
          </w:p>
          <w:p w14:paraId="4A76AAA3" w14:textId="77777777" w:rsidR="00F92598" w:rsidRDefault="00F92598" w:rsidP="00F92598">
            <w:pPr>
              <w:ind w:left="727" w:hanging="360"/>
              <w:jc w:val="both"/>
            </w:pPr>
            <w:r>
              <w:t xml:space="preserve">d. </w:t>
            </w:r>
            <w:r>
              <w:tab/>
              <w:t>Identify challenges and gaps in the current e-waste management systems.</w:t>
            </w:r>
          </w:p>
          <w:p w14:paraId="457D1C89" w14:textId="77777777" w:rsidR="00F92598" w:rsidRDefault="00F92598" w:rsidP="00F92598"/>
          <w:p w14:paraId="6BBC8E21" w14:textId="77777777" w:rsidR="00F92598" w:rsidRPr="00223AEF" w:rsidRDefault="00F92598" w:rsidP="00F92598">
            <w:pPr>
              <w:rPr>
                <w:b/>
                <w:bCs/>
              </w:rPr>
            </w:pPr>
            <w:r w:rsidRPr="00223AEF">
              <w:rPr>
                <w:b/>
                <w:bCs/>
              </w:rPr>
              <w:t>2.  Examination of International Best Practices:</w:t>
            </w:r>
          </w:p>
          <w:p w14:paraId="3BA58A70" w14:textId="77777777" w:rsidR="00F92598" w:rsidRDefault="00F92598" w:rsidP="00724F9D">
            <w:pPr>
              <w:ind w:left="727" w:hanging="360"/>
              <w:jc w:val="both"/>
            </w:pPr>
            <w:r>
              <w:t xml:space="preserve">a. </w:t>
            </w:r>
            <w:r>
              <w:tab/>
              <w:t>Study successful e-waste management models and regulations implemented in other countries or regions.</w:t>
            </w:r>
          </w:p>
          <w:p w14:paraId="58BCCDAB" w14:textId="77777777" w:rsidR="00F92598" w:rsidRDefault="00F92598" w:rsidP="00724F9D">
            <w:pPr>
              <w:ind w:left="727" w:hanging="360"/>
              <w:jc w:val="both"/>
            </w:pPr>
            <w:r>
              <w:t xml:space="preserve">b. </w:t>
            </w:r>
            <w:r>
              <w:tab/>
              <w:t>Identify key components and approaches that have proven effective in these models.</w:t>
            </w:r>
          </w:p>
          <w:p w14:paraId="5E2AF0EF" w14:textId="77777777" w:rsidR="00F92598" w:rsidRDefault="00F92598" w:rsidP="00724F9D">
            <w:pPr>
              <w:ind w:left="727" w:hanging="360"/>
              <w:jc w:val="both"/>
            </w:pPr>
            <w:r>
              <w:t xml:space="preserve">c. </w:t>
            </w:r>
            <w:r>
              <w:tab/>
              <w:t>Evaluate the feasibility and applicability of adopting such practices within SATRC member countries.</w:t>
            </w:r>
          </w:p>
          <w:p w14:paraId="3069FC88" w14:textId="77777777" w:rsidR="00F92598" w:rsidRDefault="00F92598" w:rsidP="00724F9D">
            <w:pPr>
              <w:ind w:left="727" w:hanging="360"/>
              <w:jc w:val="both"/>
            </w:pPr>
            <w:r>
              <w:t xml:space="preserve">d. </w:t>
            </w:r>
            <w:r>
              <w:tab/>
              <w:t>Showcase case studies highlighting positive outcomes resulting from robust e-waste management regulations.</w:t>
            </w:r>
          </w:p>
          <w:p w14:paraId="6D09C2F9" w14:textId="77777777" w:rsidR="00F92598" w:rsidRDefault="00F92598" w:rsidP="00F92598"/>
          <w:p w14:paraId="2A89B4EF" w14:textId="77777777" w:rsidR="00F92598" w:rsidRPr="00223AEF" w:rsidRDefault="00F92598" w:rsidP="00F92598">
            <w:pPr>
              <w:rPr>
                <w:b/>
                <w:bCs/>
              </w:rPr>
            </w:pPr>
            <w:r w:rsidRPr="00223AEF">
              <w:rPr>
                <w:b/>
                <w:bCs/>
              </w:rPr>
              <w:t>3. Enhancement of Regulatory Framework:</w:t>
            </w:r>
          </w:p>
          <w:p w14:paraId="7FEEECA4" w14:textId="77777777" w:rsidR="00F92598" w:rsidRDefault="00F92598" w:rsidP="00724F9D">
            <w:pPr>
              <w:ind w:left="727" w:hanging="360"/>
              <w:jc w:val="both"/>
            </w:pPr>
            <w:r>
              <w:t xml:space="preserve">a. </w:t>
            </w:r>
            <w:r>
              <w:tab/>
              <w:t>Propose amendments or updates to existing e-waste management regulations to address identified gaps and challenges.</w:t>
            </w:r>
          </w:p>
          <w:p w14:paraId="0BF95C26" w14:textId="77777777" w:rsidR="00F92598" w:rsidRDefault="00F92598" w:rsidP="00724F9D">
            <w:pPr>
              <w:ind w:left="727" w:hanging="360"/>
              <w:jc w:val="both"/>
            </w:pPr>
            <w:r>
              <w:t xml:space="preserve">b. </w:t>
            </w:r>
            <w:r>
              <w:tab/>
              <w:t>Recommend strategies to harmonize e-waste regulations among SATRC member countries to promote regional cooperation and enforcement.</w:t>
            </w:r>
          </w:p>
          <w:p w14:paraId="7850C7FC" w14:textId="77777777" w:rsidR="00F92598" w:rsidRDefault="00F92598" w:rsidP="00724F9D">
            <w:pPr>
              <w:ind w:left="727" w:hanging="360"/>
              <w:jc w:val="both"/>
            </w:pPr>
            <w:r>
              <w:t xml:space="preserve">c. </w:t>
            </w:r>
            <w:r>
              <w:tab/>
              <w:t>Develop guidelines for establishing comprehensive e-waste management systems encompassing collection, transportation, treatment, and disposal.</w:t>
            </w:r>
          </w:p>
          <w:p w14:paraId="4E1518DD" w14:textId="77777777" w:rsidR="00F92598" w:rsidRDefault="00F92598" w:rsidP="00724F9D">
            <w:pPr>
              <w:ind w:left="727" w:hanging="360"/>
              <w:jc w:val="both"/>
            </w:pPr>
            <w:r>
              <w:lastRenderedPageBreak/>
              <w:t xml:space="preserve">d. </w:t>
            </w:r>
            <w:r>
              <w:tab/>
              <w:t>Incorporate provisions for extended producer responsibility (EPR) to encourage manufacturers' involvement in e-waste management.</w:t>
            </w:r>
          </w:p>
          <w:p w14:paraId="1A67BC1E" w14:textId="77777777" w:rsidR="00F92598" w:rsidRDefault="00F92598" w:rsidP="00F92598"/>
          <w:p w14:paraId="18A8789C" w14:textId="77777777" w:rsidR="00F92598" w:rsidRPr="00223AEF" w:rsidRDefault="00F92598" w:rsidP="00F92598">
            <w:pPr>
              <w:rPr>
                <w:b/>
                <w:bCs/>
              </w:rPr>
            </w:pPr>
            <w:r w:rsidRPr="00223AEF">
              <w:rPr>
                <w:b/>
                <w:bCs/>
              </w:rPr>
              <w:t xml:space="preserve">4. </w:t>
            </w:r>
            <w:r>
              <w:rPr>
                <w:b/>
                <w:bCs/>
              </w:rPr>
              <w:t xml:space="preserve"> </w:t>
            </w:r>
            <w:r w:rsidRPr="00223AEF">
              <w:rPr>
                <w:b/>
                <w:bCs/>
              </w:rPr>
              <w:t>Promotion of Awareness and Education:</w:t>
            </w:r>
          </w:p>
          <w:p w14:paraId="1227A482" w14:textId="77777777" w:rsidR="00F92598" w:rsidRDefault="00F92598" w:rsidP="00724F9D">
            <w:pPr>
              <w:ind w:left="727" w:hanging="360"/>
              <w:jc w:val="both"/>
            </w:pPr>
            <w:r>
              <w:t xml:space="preserve">a. </w:t>
            </w:r>
            <w:r>
              <w:tab/>
              <w:t>Identify strategies for raising public awareness about e-waste hazards, proper disposal, and recycling options.</w:t>
            </w:r>
          </w:p>
          <w:p w14:paraId="15DECCAC" w14:textId="77777777" w:rsidR="00F92598" w:rsidRDefault="00F92598" w:rsidP="00724F9D">
            <w:pPr>
              <w:ind w:left="727" w:hanging="360"/>
              <w:jc w:val="both"/>
            </w:pPr>
            <w:r>
              <w:t xml:space="preserve">b. </w:t>
            </w:r>
            <w:r>
              <w:tab/>
              <w:t>Develop educational campaigns targeting consumers, businesses, and educational institutions to promote responsible e-waste management practices.</w:t>
            </w:r>
          </w:p>
          <w:p w14:paraId="1F5E93DD" w14:textId="77777777" w:rsidR="00F92598" w:rsidRDefault="00F92598" w:rsidP="00F92598"/>
          <w:p w14:paraId="0A5B53AA" w14:textId="77777777" w:rsidR="00F92598" w:rsidRPr="00223AEF" w:rsidRDefault="00F92598" w:rsidP="00F92598">
            <w:pPr>
              <w:rPr>
                <w:b/>
                <w:bCs/>
              </w:rPr>
            </w:pPr>
            <w:r w:rsidRPr="00223AEF">
              <w:rPr>
                <w:b/>
                <w:bCs/>
              </w:rPr>
              <w:t>5. Monitoring and Evaluation of Progress:</w:t>
            </w:r>
          </w:p>
          <w:p w14:paraId="6CA55415" w14:textId="77777777" w:rsidR="00F92598" w:rsidRDefault="00F92598" w:rsidP="00F92598">
            <w:pPr>
              <w:ind w:left="727" w:hanging="360"/>
              <w:jc w:val="both"/>
            </w:pPr>
            <w:r>
              <w:t>a.</w:t>
            </w:r>
            <w:r>
              <w:tab/>
              <w:t>Establish mechanisms to monitor and evaluate the implementation and impact of enhanced e-waste management regulations.</w:t>
            </w:r>
          </w:p>
          <w:p w14:paraId="1D9793BB" w14:textId="77777777" w:rsidR="00F92598" w:rsidRDefault="00F92598" w:rsidP="00F92598">
            <w:pPr>
              <w:ind w:left="727" w:hanging="360"/>
              <w:jc w:val="both"/>
            </w:pPr>
            <w:r>
              <w:t xml:space="preserve">b. </w:t>
            </w:r>
            <w:r>
              <w:tab/>
              <w:t>Develop metrics and indicators to assess the effectiveness of e-waste management practices.</w:t>
            </w:r>
          </w:p>
          <w:p w14:paraId="5B0B2833" w14:textId="77777777" w:rsidR="00F92598" w:rsidRDefault="00F92598" w:rsidP="00F92598">
            <w:pPr>
              <w:ind w:left="727" w:hanging="360"/>
            </w:pPr>
          </w:p>
          <w:p w14:paraId="2DB28395" w14:textId="77777777" w:rsidR="00F92598" w:rsidRDefault="00F92598" w:rsidP="00D20E5A">
            <w:pPr>
              <w:ind w:left="70"/>
              <w:jc w:val="both"/>
            </w:pPr>
            <w:r>
              <w:t>By addressing these research objectives, this study will provide SATRC members with a comprehensive understanding of e-waste management regulations and strategies to strengthen them. The findings will guide policymakers, regulators, and stakeholders in developing and implementing effective e-waste management systems, leading to reduced environmental pollution, improved resource recovery, and the promotion of a circular economy in the region.</w:t>
            </w:r>
          </w:p>
          <w:p w14:paraId="1704DFA2" w14:textId="4AAEC46E" w:rsidR="00D20E5A" w:rsidRDefault="00D20E5A" w:rsidP="00D20E5A">
            <w:pPr>
              <w:ind w:left="70"/>
              <w:jc w:val="both"/>
            </w:pPr>
          </w:p>
        </w:tc>
      </w:tr>
      <w:tr w:rsidR="00F92598" w14:paraId="67FBA4C1" w14:textId="77777777" w:rsidTr="00D43BE0">
        <w:tc>
          <w:tcPr>
            <w:tcW w:w="2737" w:type="dxa"/>
            <w:vAlign w:val="center"/>
          </w:tcPr>
          <w:p w14:paraId="6A0F220B" w14:textId="7D5A257D" w:rsidR="00F92598" w:rsidRDefault="00F92598" w:rsidP="00F92598">
            <w:pPr>
              <w:rPr>
                <w:rFonts w:eastAsia="휴먼명조"/>
                <w:b/>
                <w:color w:val="000000"/>
                <w:lang w:val="en-AU"/>
              </w:rPr>
            </w:pPr>
            <w:r w:rsidRPr="003247FB">
              <w:rPr>
                <w:rFonts w:eastAsia="휴먼명조"/>
                <w:b/>
                <w:color w:val="000000"/>
                <w:lang w:val="en-AU"/>
              </w:rPr>
              <w:lastRenderedPageBreak/>
              <w:t>Time Frame</w:t>
            </w:r>
          </w:p>
        </w:tc>
        <w:tc>
          <w:tcPr>
            <w:tcW w:w="6426" w:type="dxa"/>
            <w:vAlign w:val="center"/>
          </w:tcPr>
          <w:p w14:paraId="6562565D"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draft Questionnaire (April 2024)</w:t>
            </w:r>
          </w:p>
          <w:p w14:paraId="089807C7"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Approval of the Questionnaire at the first meeting of the Working Group on PRS (May 2024)</w:t>
            </w:r>
          </w:p>
          <w:p w14:paraId="09A6C53D" w14:textId="77777777" w:rsidR="00D839D5"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Circulation of the Questionnaire to SATRC Members (May 2024) </w:t>
            </w:r>
          </w:p>
          <w:p w14:paraId="4B6F168A" w14:textId="7B4B0FB6"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Response to the Questionnaire received from SATRC Members (August 2024) </w:t>
            </w:r>
          </w:p>
          <w:p w14:paraId="7FC07D47"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first version of the draft Report (November 2024) Discussion on the first version of the draft Report (February 2025) </w:t>
            </w:r>
          </w:p>
          <w:p w14:paraId="16930222"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second version of the draft Report (April 2025)</w:t>
            </w:r>
          </w:p>
          <w:p w14:paraId="20C59737"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second version of the draft Report (May 2025) </w:t>
            </w:r>
          </w:p>
          <w:p w14:paraId="5746C9AF"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third version of the draft Report (June 2025) </w:t>
            </w:r>
          </w:p>
          <w:p w14:paraId="51B41AF6"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third version of the draft Report (July 2025) </w:t>
            </w:r>
          </w:p>
          <w:p w14:paraId="057B27C9" w14:textId="77777777" w:rsid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final version of draft report (August 2025)</w:t>
            </w:r>
          </w:p>
          <w:p w14:paraId="6199E539" w14:textId="60B20A62" w:rsidR="00D20E5A" w:rsidRP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55AC3">
              <w:rPr>
                <w:lang w:val="en-AU" w:eastAsia="ko-KR"/>
              </w:rPr>
              <w:t>Approval of the final version of draft report in the second meeting of the Working Group on PRS (September 2025)</w:t>
            </w:r>
          </w:p>
        </w:tc>
      </w:tr>
      <w:tr w:rsidR="00F92598" w14:paraId="7D189589" w14:textId="77777777" w:rsidTr="00D43BE0">
        <w:tc>
          <w:tcPr>
            <w:tcW w:w="2737" w:type="dxa"/>
            <w:vAlign w:val="center"/>
          </w:tcPr>
          <w:p w14:paraId="7AF65445" w14:textId="32CF7048" w:rsidR="00F92598" w:rsidRDefault="00F92598" w:rsidP="00F92598">
            <w:pPr>
              <w:rPr>
                <w:rFonts w:eastAsia="휴먼명조"/>
                <w:b/>
                <w:color w:val="000000"/>
                <w:lang w:val="en-AU"/>
              </w:rPr>
            </w:pPr>
            <w:r w:rsidRPr="003247FB">
              <w:rPr>
                <w:rFonts w:eastAsia="휴먼명조"/>
                <w:b/>
                <w:color w:val="000000"/>
                <w:lang w:val="en-AU"/>
              </w:rPr>
              <w:lastRenderedPageBreak/>
              <w:t>Utilization of Output</w:t>
            </w:r>
          </w:p>
        </w:tc>
        <w:tc>
          <w:tcPr>
            <w:tcW w:w="6426" w:type="dxa"/>
            <w:vAlign w:val="center"/>
          </w:tcPr>
          <w:p w14:paraId="570BDC8B" w14:textId="053BD3A7" w:rsidR="00AF6FE6" w:rsidRPr="00AF6FE6" w:rsidRDefault="00AF6FE6" w:rsidP="00AF6FE6">
            <w:pPr>
              <w:ind w:left="457" w:hanging="457"/>
              <w:rPr>
                <w:bCs/>
                <w:lang w:val="en-AU"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p>
        </w:tc>
      </w:tr>
      <w:tr w:rsidR="00C96EEB" w14:paraId="5DB77B23" w14:textId="77777777" w:rsidTr="00C96EEB">
        <w:tc>
          <w:tcPr>
            <w:tcW w:w="9163" w:type="dxa"/>
            <w:gridSpan w:val="2"/>
            <w:tcBorders>
              <w:left w:val="nil"/>
              <w:right w:val="nil"/>
            </w:tcBorders>
            <w:vAlign w:val="center"/>
          </w:tcPr>
          <w:p w14:paraId="2268FBC9" w14:textId="77777777" w:rsidR="00C96EEB" w:rsidRDefault="00C96EEB" w:rsidP="00AF6FE6">
            <w:pPr>
              <w:ind w:left="457" w:hanging="457"/>
              <w:rPr>
                <w:bCs/>
                <w:lang w:val="en-AU" w:eastAsia="ko-KR"/>
              </w:rPr>
            </w:pPr>
          </w:p>
          <w:p w14:paraId="23B2477A" w14:textId="77777777" w:rsidR="00C96EEB" w:rsidRDefault="00C96EEB" w:rsidP="00AF6FE6">
            <w:pPr>
              <w:ind w:left="457" w:hanging="457"/>
              <w:rPr>
                <w:bCs/>
                <w:lang w:val="en-AU" w:eastAsia="ko-KR"/>
              </w:rPr>
            </w:pPr>
          </w:p>
          <w:p w14:paraId="7807C903" w14:textId="77777777" w:rsidR="00C96EEB" w:rsidRPr="003247FB" w:rsidRDefault="00C96EEB" w:rsidP="00AF6FE6">
            <w:pPr>
              <w:ind w:left="457" w:hanging="457"/>
              <w:rPr>
                <w:bCs/>
                <w:lang w:val="en-AU" w:eastAsia="ko-KR"/>
              </w:rPr>
            </w:pPr>
          </w:p>
        </w:tc>
      </w:tr>
      <w:tr w:rsidR="00D43BE0" w:rsidRPr="0096298D" w14:paraId="12EB9AA6" w14:textId="77777777" w:rsidTr="00D604F3">
        <w:trPr>
          <w:trHeight w:val="809"/>
        </w:trPr>
        <w:tc>
          <w:tcPr>
            <w:tcW w:w="2737" w:type="dxa"/>
            <w:shd w:val="clear" w:color="auto" w:fill="D9D9D9" w:themeFill="background1" w:themeFillShade="D9"/>
          </w:tcPr>
          <w:p w14:paraId="37DF7295" w14:textId="77777777" w:rsidR="00D43BE0" w:rsidRPr="001169BE" w:rsidRDefault="00D43BE0" w:rsidP="00F33A67">
            <w:pPr>
              <w:snapToGrid w:val="0"/>
              <w:spacing w:before="40" w:after="40"/>
              <w:rPr>
                <w:rFonts w:eastAsia="Batang"/>
                <w:b/>
              </w:rPr>
            </w:pPr>
            <w:r w:rsidRPr="001169BE">
              <w:rPr>
                <w:rFonts w:eastAsia="Batang"/>
                <w:b/>
              </w:rPr>
              <w:t>Work Item</w:t>
            </w:r>
          </w:p>
        </w:tc>
        <w:tc>
          <w:tcPr>
            <w:tcW w:w="6426" w:type="dxa"/>
            <w:shd w:val="clear" w:color="auto" w:fill="D9D9D9" w:themeFill="background1" w:themeFillShade="D9"/>
          </w:tcPr>
          <w:p w14:paraId="123B95B9" w14:textId="30628B97" w:rsidR="00D43BE0" w:rsidRPr="001169BE" w:rsidRDefault="00D43BE0" w:rsidP="00F33A67">
            <w:pPr>
              <w:widowControl w:val="0"/>
              <w:overflowPunct w:val="0"/>
              <w:autoSpaceDE w:val="0"/>
              <w:autoSpaceDN w:val="0"/>
              <w:adjustRightInd w:val="0"/>
              <w:snapToGrid w:val="0"/>
              <w:spacing w:before="40" w:after="40"/>
              <w:jc w:val="both"/>
              <w:textAlignment w:val="baseline"/>
              <w:rPr>
                <w:b/>
                <w:lang w:val="en-AU" w:eastAsia="ko-KR"/>
              </w:rPr>
            </w:pPr>
            <w:r w:rsidRPr="001169BE">
              <w:rPr>
                <w:b/>
                <w:lang w:val="en-AU" w:eastAsia="ko-KR"/>
              </w:rPr>
              <w:t>Study on Challenges and Addressal of Online Scams and Digital Financial Frauds</w:t>
            </w:r>
            <w:r w:rsidR="00A913DD">
              <w:rPr>
                <w:b/>
                <w:lang w:val="en-AU" w:eastAsia="ko-KR"/>
              </w:rPr>
              <w:t xml:space="preserve"> taking into account the consumer information protection and rights</w:t>
            </w:r>
          </w:p>
        </w:tc>
      </w:tr>
      <w:tr w:rsidR="00D43BE0" w:rsidRPr="007309DF" w14:paraId="7146EB3E" w14:textId="77777777" w:rsidTr="00691D95">
        <w:trPr>
          <w:trHeight w:val="395"/>
        </w:trPr>
        <w:tc>
          <w:tcPr>
            <w:tcW w:w="2737" w:type="dxa"/>
          </w:tcPr>
          <w:p w14:paraId="73988DDF" w14:textId="77777777" w:rsidR="00D43BE0" w:rsidRPr="003247FB" w:rsidRDefault="00D43BE0" w:rsidP="00F33A67">
            <w:pPr>
              <w:snapToGrid w:val="0"/>
              <w:spacing w:before="40" w:after="40"/>
              <w:rPr>
                <w:rFonts w:eastAsia="Batang"/>
                <w:b/>
              </w:rPr>
            </w:pPr>
            <w:r>
              <w:rPr>
                <w:rFonts w:eastAsia="Batang"/>
                <w:b/>
              </w:rPr>
              <w:t>Lead Expert</w:t>
            </w:r>
          </w:p>
        </w:tc>
        <w:tc>
          <w:tcPr>
            <w:tcW w:w="6426" w:type="dxa"/>
          </w:tcPr>
          <w:p w14:paraId="3E878D5C" w14:textId="1AD2666A" w:rsidR="00D43BE0" w:rsidRPr="007309DF" w:rsidRDefault="007309DF" w:rsidP="00F33A67">
            <w:pPr>
              <w:widowControl w:val="0"/>
              <w:overflowPunct w:val="0"/>
              <w:autoSpaceDE w:val="0"/>
              <w:autoSpaceDN w:val="0"/>
              <w:adjustRightInd w:val="0"/>
              <w:snapToGrid w:val="0"/>
              <w:spacing w:before="40" w:after="40"/>
              <w:jc w:val="both"/>
              <w:textAlignment w:val="baseline"/>
              <w:rPr>
                <w:bCs/>
                <w:lang w:eastAsia="ko-KR"/>
              </w:rPr>
            </w:pPr>
            <w:r w:rsidRPr="007309DF">
              <w:rPr>
                <w:bCs/>
                <w:lang w:eastAsia="ko-KR"/>
              </w:rPr>
              <w:t>Ms. Roja Kiran Basukala, NTA (Nepal</w:t>
            </w:r>
            <w:r>
              <w:rPr>
                <w:bCs/>
                <w:lang w:eastAsia="ko-KR"/>
              </w:rPr>
              <w:t>)</w:t>
            </w:r>
          </w:p>
        </w:tc>
      </w:tr>
      <w:tr w:rsidR="007309DF" w:rsidRPr="007309DF" w14:paraId="3F6CE3E9" w14:textId="77777777" w:rsidTr="00691D95">
        <w:trPr>
          <w:trHeight w:val="620"/>
        </w:trPr>
        <w:tc>
          <w:tcPr>
            <w:tcW w:w="2737" w:type="dxa"/>
          </w:tcPr>
          <w:p w14:paraId="176E4C97" w14:textId="2953187D" w:rsidR="007309DF" w:rsidRPr="007309DF" w:rsidRDefault="00834059" w:rsidP="00F33A67">
            <w:pPr>
              <w:snapToGrid w:val="0"/>
              <w:spacing w:before="40" w:after="40"/>
              <w:rPr>
                <w:rFonts w:eastAsia="Batang"/>
                <w:b/>
              </w:rPr>
            </w:pPr>
            <w:r>
              <w:rPr>
                <w:rFonts w:eastAsia="Batang"/>
                <w:b/>
              </w:rPr>
              <w:t>Co-Lead Expert</w:t>
            </w:r>
          </w:p>
        </w:tc>
        <w:tc>
          <w:tcPr>
            <w:tcW w:w="6426" w:type="dxa"/>
          </w:tcPr>
          <w:p w14:paraId="5C237ED6" w14:textId="77777777" w:rsidR="007309DF" w:rsidRDefault="00AD3F1E" w:rsidP="00F33A67">
            <w:pPr>
              <w:widowControl w:val="0"/>
              <w:overflowPunct w:val="0"/>
              <w:autoSpaceDE w:val="0"/>
              <w:autoSpaceDN w:val="0"/>
              <w:adjustRightInd w:val="0"/>
              <w:snapToGrid w:val="0"/>
              <w:spacing w:before="40" w:after="40"/>
              <w:jc w:val="both"/>
              <w:textAlignment w:val="baseline"/>
              <w:rPr>
                <w:bCs/>
                <w:lang w:eastAsia="ko-KR"/>
              </w:rPr>
            </w:pPr>
            <w:r>
              <w:rPr>
                <w:bCs/>
                <w:lang w:eastAsia="ko-KR"/>
              </w:rPr>
              <w:t>Mr. Manish Jain, TRAI (India)</w:t>
            </w:r>
          </w:p>
          <w:p w14:paraId="7D7CFFC3" w14:textId="7E3C09FF" w:rsidR="00AD3F1E" w:rsidRPr="007309DF" w:rsidRDefault="00AD3F1E" w:rsidP="00F33A67">
            <w:pPr>
              <w:widowControl w:val="0"/>
              <w:overflowPunct w:val="0"/>
              <w:autoSpaceDE w:val="0"/>
              <w:autoSpaceDN w:val="0"/>
              <w:adjustRightInd w:val="0"/>
              <w:snapToGrid w:val="0"/>
              <w:spacing w:before="40" w:after="40"/>
              <w:jc w:val="both"/>
              <w:textAlignment w:val="baseline"/>
              <w:rPr>
                <w:bCs/>
                <w:lang w:eastAsia="ko-KR"/>
              </w:rPr>
            </w:pPr>
            <w:r>
              <w:rPr>
                <w:bCs/>
                <w:lang w:eastAsia="ko-KR"/>
              </w:rPr>
              <w:t>Ms. Tharalika Livera, TRC (Sri Lanka)</w:t>
            </w:r>
          </w:p>
        </w:tc>
      </w:tr>
      <w:tr w:rsidR="00D43BE0" w:rsidRPr="0096298D" w14:paraId="2B814934" w14:textId="77777777" w:rsidTr="00691D95">
        <w:trPr>
          <w:trHeight w:val="386"/>
        </w:trPr>
        <w:tc>
          <w:tcPr>
            <w:tcW w:w="2737" w:type="dxa"/>
          </w:tcPr>
          <w:p w14:paraId="48BBAE25" w14:textId="77777777" w:rsidR="00D43BE0" w:rsidRPr="001169BE" w:rsidRDefault="00D43BE0" w:rsidP="00F33A67">
            <w:pPr>
              <w:snapToGrid w:val="0"/>
              <w:spacing w:before="40" w:after="40"/>
              <w:rPr>
                <w:rFonts w:eastAsia="Batang"/>
                <w:b/>
              </w:rPr>
            </w:pPr>
            <w:r w:rsidRPr="003247FB">
              <w:rPr>
                <w:rFonts w:eastAsia="Batang"/>
                <w:b/>
              </w:rPr>
              <w:t>Proposed by</w:t>
            </w:r>
          </w:p>
        </w:tc>
        <w:tc>
          <w:tcPr>
            <w:tcW w:w="6426" w:type="dxa"/>
          </w:tcPr>
          <w:p w14:paraId="6314AEC3" w14:textId="371CC31F" w:rsidR="00D43BE0" w:rsidRPr="001169BE" w:rsidRDefault="00D43BE0" w:rsidP="00AF794D">
            <w:pPr>
              <w:widowControl w:val="0"/>
              <w:overflowPunct w:val="0"/>
              <w:autoSpaceDE w:val="0"/>
              <w:autoSpaceDN w:val="0"/>
              <w:adjustRightInd w:val="0"/>
              <w:snapToGrid w:val="0"/>
              <w:spacing w:before="40" w:after="40"/>
              <w:textAlignment w:val="baseline"/>
              <w:rPr>
                <w:bCs/>
                <w:lang w:val="en-AU" w:eastAsia="ko-KR"/>
              </w:rPr>
            </w:pPr>
            <w:r w:rsidRPr="001169BE">
              <w:rPr>
                <w:bCs/>
                <w:lang w:val="en-AU" w:eastAsia="ko-KR"/>
              </w:rPr>
              <w:t>Pakistan Telecommunication Authority (PTA)</w:t>
            </w:r>
          </w:p>
        </w:tc>
      </w:tr>
      <w:tr w:rsidR="00D43BE0" w:rsidRPr="0096298D" w14:paraId="56FBC86B" w14:textId="77777777" w:rsidTr="00D43BE0">
        <w:trPr>
          <w:trHeight w:val="809"/>
        </w:trPr>
        <w:tc>
          <w:tcPr>
            <w:tcW w:w="2737" w:type="dxa"/>
          </w:tcPr>
          <w:p w14:paraId="19E22BFB" w14:textId="77777777" w:rsidR="00D43BE0" w:rsidRPr="001169BE" w:rsidRDefault="00D43BE0" w:rsidP="00F33A67">
            <w:pPr>
              <w:snapToGrid w:val="0"/>
              <w:spacing w:before="40" w:after="40"/>
              <w:rPr>
                <w:rFonts w:eastAsia="Batang"/>
                <w:b/>
              </w:rPr>
            </w:pPr>
            <w:r w:rsidRPr="003247FB">
              <w:rPr>
                <w:rFonts w:eastAsia="Batang"/>
                <w:b/>
              </w:rPr>
              <w:t>Responsible Working Group</w:t>
            </w:r>
          </w:p>
        </w:tc>
        <w:tc>
          <w:tcPr>
            <w:tcW w:w="6426" w:type="dxa"/>
          </w:tcPr>
          <w:p w14:paraId="14BDF8BB" w14:textId="77777777" w:rsidR="00D43BE0" w:rsidRPr="001169BE" w:rsidRDefault="00D43BE0" w:rsidP="00F33A67">
            <w:pPr>
              <w:widowControl w:val="0"/>
              <w:overflowPunct w:val="0"/>
              <w:autoSpaceDE w:val="0"/>
              <w:autoSpaceDN w:val="0"/>
              <w:adjustRightInd w:val="0"/>
              <w:snapToGrid w:val="0"/>
              <w:spacing w:before="40" w:after="40"/>
              <w:jc w:val="both"/>
              <w:textAlignment w:val="baseline"/>
              <w:rPr>
                <w:bCs/>
                <w:lang w:val="en-AU" w:eastAsia="ko-KR"/>
              </w:rPr>
            </w:pPr>
            <w:r w:rsidRPr="001169BE">
              <w:rPr>
                <w:bCs/>
                <w:lang w:val="en-AU" w:eastAsia="ko-KR"/>
              </w:rPr>
              <w:t>Working Group on Policy, Regulation and Services (PRS)</w:t>
            </w:r>
          </w:p>
        </w:tc>
      </w:tr>
      <w:tr w:rsidR="00D43BE0" w:rsidRPr="0096298D" w14:paraId="13669025" w14:textId="77777777" w:rsidTr="00691D95">
        <w:trPr>
          <w:trHeight w:val="431"/>
        </w:trPr>
        <w:tc>
          <w:tcPr>
            <w:tcW w:w="2737" w:type="dxa"/>
          </w:tcPr>
          <w:p w14:paraId="14448A57" w14:textId="77777777" w:rsidR="00D43BE0" w:rsidRPr="001169BE" w:rsidRDefault="00D43BE0" w:rsidP="00F33A67">
            <w:pPr>
              <w:snapToGrid w:val="0"/>
              <w:spacing w:before="40" w:after="40"/>
              <w:rPr>
                <w:rFonts w:eastAsia="Batang"/>
                <w:b/>
              </w:rPr>
            </w:pPr>
            <w:r w:rsidRPr="001169BE">
              <w:rPr>
                <w:rFonts w:eastAsia="Batang"/>
                <w:b/>
              </w:rPr>
              <w:t>Output</w:t>
            </w:r>
          </w:p>
          <w:p w14:paraId="247BDA70" w14:textId="77777777" w:rsidR="00D43BE0" w:rsidRPr="001169BE" w:rsidRDefault="00D43BE0" w:rsidP="00F33A67">
            <w:pPr>
              <w:snapToGrid w:val="0"/>
              <w:spacing w:before="40" w:after="40"/>
              <w:rPr>
                <w:rFonts w:eastAsia="Batang"/>
                <w:b/>
              </w:rPr>
            </w:pPr>
          </w:p>
        </w:tc>
        <w:tc>
          <w:tcPr>
            <w:tcW w:w="6426" w:type="dxa"/>
          </w:tcPr>
          <w:p w14:paraId="3E77C252" w14:textId="77777777" w:rsidR="00D43BE0" w:rsidRPr="001169BE" w:rsidRDefault="00D43BE0" w:rsidP="00F33A67">
            <w:pPr>
              <w:widowControl w:val="0"/>
              <w:overflowPunct w:val="0"/>
              <w:autoSpaceDE w:val="0"/>
              <w:autoSpaceDN w:val="0"/>
              <w:adjustRightInd w:val="0"/>
              <w:snapToGrid w:val="0"/>
              <w:spacing w:before="40" w:after="40"/>
              <w:jc w:val="both"/>
              <w:textAlignment w:val="baseline"/>
              <w:rPr>
                <w:bCs/>
                <w:lang w:val="en-AU" w:eastAsia="ko-KR"/>
              </w:rPr>
            </w:pPr>
            <w:r w:rsidRPr="001169BE">
              <w:rPr>
                <w:bCs/>
                <w:lang w:val="en-AU" w:eastAsia="ko-KR"/>
              </w:rPr>
              <w:t xml:space="preserve">Report </w:t>
            </w:r>
          </w:p>
        </w:tc>
      </w:tr>
      <w:tr w:rsidR="00D43BE0" w:rsidRPr="0096298D" w14:paraId="6396BB67" w14:textId="77777777" w:rsidTr="00D43BE0">
        <w:trPr>
          <w:trHeight w:val="809"/>
        </w:trPr>
        <w:tc>
          <w:tcPr>
            <w:tcW w:w="2737" w:type="dxa"/>
          </w:tcPr>
          <w:p w14:paraId="60B49270" w14:textId="77777777" w:rsidR="00D43BE0" w:rsidRPr="001169BE" w:rsidRDefault="00D43BE0" w:rsidP="00F33A67">
            <w:pPr>
              <w:snapToGrid w:val="0"/>
              <w:spacing w:before="40" w:after="40"/>
              <w:rPr>
                <w:rFonts w:eastAsia="Batang"/>
                <w:b/>
              </w:rPr>
            </w:pPr>
            <w:r w:rsidRPr="001169BE">
              <w:rPr>
                <w:rFonts w:eastAsia="Batang"/>
                <w:b/>
              </w:rPr>
              <w:t>Background and Purpose</w:t>
            </w:r>
          </w:p>
          <w:p w14:paraId="0A62B8F8" w14:textId="77777777" w:rsidR="00D43BE0" w:rsidRPr="001169BE" w:rsidRDefault="00D43BE0" w:rsidP="00F33A67">
            <w:pPr>
              <w:snapToGrid w:val="0"/>
              <w:spacing w:before="40" w:after="40"/>
              <w:rPr>
                <w:rFonts w:eastAsia="Batang"/>
                <w:b/>
              </w:rPr>
            </w:pPr>
          </w:p>
          <w:p w14:paraId="085EB340" w14:textId="77777777" w:rsidR="00D43BE0" w:rsidRPr="001169BE" w:rsidRDefault="00D43BE0" w:rsidP="00F33A67">
            <w:pPr>
              <w:snapToGrid w:val="0"/>
              <w:spacing w:before="40" w:after="40"/>
              <w:rPr>
                <w:rFonts w:eastAsia="Batang"/>
                <w:b/>
              </w:rPr>
            </w:pPr>
          </w:p>
          <w:p w14:paraId="340F57B9" w14:textId="77777777" w:rsidR="00D43BE0" w:rsidRPr="001169BE" w:rsidRDefault="00D43BE0" w:rsidP="00F33A67">
            <w:pPr>
              <w:snapToGrid w:val="0"/>
              <w:spacing w:before="40" w:after="40"/>
              <w:rPr>
                <w:rFonts w:eastAsia="Batang"/>
                <w:b/>
              </w:rPr>
            </w:pPr>
          </w:p>
          <w:p w14:paraId="4BA513E5" w14:textId="77777777" w:rsidR="00D43BE0" w:rsidRPr="001169BE" w:rsidRDefault="00D43BE0" w:rsidP="00F33A67">
            <w:pPr>
              <w:snapToGrid w:val="0"/>
              <w:spacing w:before="40" w:after="40"/>
              <w:rPr>
                <w:rFonts w:eastAsia="Batang"/>
                <w:b/>
              </w:rPr>
            </w:pPr>
          </w:p>
        </w:tc>
        <w:tc>
          <w:tcPr>
            <w:tcW w:w="6426" w:type="dxa"/>
          </w:tcPr>
          <w:p w14:paraId="1478F264" w14:textId="4E871C97" w:rsidR="008152A4" w:rsidRPr="008152A4" w:rsidRDefault="008152A4" w:rsidP="008152A4">
            <w:pPr>
              <w:widowControl w:val="0"/>
              <w:overflowPunct w:val="0"/>
              <w:autoSpaceDE w:val="0"/>
              <w:autoSpaceDN w:val="0"/>
              <w:adjustRightInd w:val="0"/>
              <w:snapToGrid w:val="0"/>
              <w:spacing w:before="40" w:after="40"/>
              <w:jc w:val="both"/>
              <w:textAlignment w:val="baseline"/>
              <w:rPr>
                <w:bCs/>
                <w:lang w:val="en-AU" w:eastAsia="ko-KR"/>
              </w:rPr>
            </w:pPr>
            <w:r w:rsidRPr="008152A4">
              <w:rPr>
                <w:bCs/>
                <w:lang w:val="en-AU" w:eastAsia="ko-KR"/>
              </w:rPr>
              <w:t>Technological innovations in the telecommunication/ICT sector have introduced many innovative services for making daily lives of consumers convenient. However, such technical innovations are changing rapidly in such a way that such technical improvements need to be incorporated in regulations urging the need for revision/review of traditional consumer rights regulations based on basic telecommunication/ICT services. These changes provide consumers with more commercial opportunities, and also bring a number of new and emerging risks on protection of consumer information.</w:t>
            </w:r>
          </w:p>
          <w:p w14:paraId="7EC8437E" w14:textId="65914694" w:rsidR="008152A4" w:rsidRPr="008152A4" w:rsidRDefault="008152A4" w:rsidP="008152A4">
            <w:pPr>
              <w:widowControl w:val="0"/>
              <w:overflowPunct w:val="0"/>
              <w:autoSpaceDE w:val="0"/>
              <w:autoSpaceDN w:val="0"/>
              <w:adjustRightInd w:val="0"/>
              <w:snapToGrid w:val="0"/>
              <w:spacing w:before="40" w:after="40"/>
              <w:jc w:val="both"/>
              <w:textAlignment w:val="baseline"/>
              <w:rPr>
                <w:bCs/>
                <w:lang w:val="en-AU" w:eastAsia="ko-KR"/>
              </w:rPr>
            </w:pPr>
            <w:r w:rsidRPr="008152A4">
              <w:rPr>
                <w:bCs/>
                <w:lang w:val="en-AU" w:eastAsia="ko-KR"/>
              </w:rPr>
              <w:t xml:space="preserve">With the introduction of more digital services, online scams and digital financial frauds remain as major obstacle to digitization because they make people distrustful of digital technologies.  Regulators and industry are facing such challenges in increasing trend ultimately providing negative impact on economic growth and social innovation. Additionally, it can have a devastating impact on consumers. Victims of these scams can lose money, their identities, and even their sense of security. This can make it difficult for consumers to participate in the digital economy and enjoy the many benefits that it offers. </w:t>
            </w:r>
          </w:p>
          <w:p w14:paraId="57DA0FA3" w14:textId="01AA58E6" w:rsidR="00CB59B2" w:rsidRPr="001169BE" w:rsidRDefault="008152A4" w:rsidP="00F33A67">
            <w:pPr>
              <w:widowControl w:val="0"/>
              <w:overflowPunct w:val="0"/>
              <w:autoSpaceDE w:val="0"/>
              <w:autoSpaceDN w:val="0"/>
              <w:adjustRightInd w:val="0"/>
              <w:snapToGrid w:val="0"/>
              <w:spacing w:before="40" w:after="40"/>
              <w:jc w:val="both"/>
              <w:textAlignment w:val="baseline"/>
              <w:rPr>
                <w:bCs/>
                <w:lang w:val="en-AU" w:eastAsia="ko-KR"/>
              </w:rPr>
            </w:pPr>
            <w:r w:rsidRPr="008152A4">
              <w:rPr>
                <w:bCs/>
                <w:lang w:val="en-AU" w:eastAsia="ko-KR"/>
              </w:rPr>
              <w:t>Therefore, an adequate regulatory framework is required for consumer rights protection including online scams and digital financial frauds so that the internet can remain as a safer and convenient place for everyone supporting digital transformation.</w:t>
            </w:r>
          </w:p>
        </w:tc>
      </w:tr>
      <w:tr w:rsidR="00D43BE0" w:rsidRPr="0096298D" w14:paraId="79BDDE11" w14:textId="77777777" w:rsidTr="00D43BE0">
        <w:trPr>
          <w:trHeight w:val="809"/>
        </w:trPr>
        <w:tc>
          <w:tcPr>
            <w:tcW w:w="2737" w:type="dxa"/>
          </w:tcPr>
          <w:p w14:paraId="28A03A6F" w14:textId="77777777" w:rsidR="00D43BE0" w:rsidRPr="001169BE" w:rsidRDefault="00D43BE0" w:rsidP="00F33A67">
            <w:pPr>
              <w:snapToGrid w:val="0"/>
              <w:spacing w:before="40" w:after="40"/>
              <w:rPr>
                <w:rFonts w:eastAsia="Batang"/>
                <w:b/>
              </w:rPr>
            </w:pPr>
            <w:r w:rsidRPr="001169BE">
              <w:rPr>
                <w:rFonts w:eastAsia="Batang"/>
                <w:b/>
              </w:rPr>
              <w:t>Scope</w:t>
            </w:r>
          </w:p>
          <w:p w14:paraId="25EE69E6" w14:textId="77777777" w:rsidR="00D43BE0" w:rsidRPr="001169BE" w:rsidRDefault="00D43BE0" w:rsidP="00F33A67">
            <w:pPr>
              <w:snapToGrid w:val="0"/>
              <w:spacing w:before="40" w:after="40"/>
              <w:rPr>
                <w:rFonts w:eastAsia="Batang"/>
                <w:b/>
              </w:rPr>
            </w:pPr>
          </w:p>
          <w:p w14:paraId="46617186" w14:textId="77777777" w:rsidR="00D43BE0" w:rsidRPr="001169BE" w:rsidRDefault="00D43BE0" w:rsidP="00F33A67">
            <w:pPr>
              <w:snapToGrid w:val="0"/>
              <w:spacing w:before="40" w:after="40"/>
              <w:rPr>
                <w:rFonts w:eastAsia="Batang"/>
                <w:b/>
              </w:rPr>
            </w:pPr>
          </w:p>
        </w:tc>
        <w:tc>
          <w:tcPr>
            <w:tcW w:w="6426" w:type="dxa"/>
          </w:tcPr>
          <w:p w14:paraId="25CABE1E" w14:textId="7BB37AD0"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 xml:space="preserve">Consumer information protection in a digitized environment has changed and will continue to do so, due to the emergence of new services and their widespread uptake. Consumers are not in par with this digital transformation and hence an adequate regulatory framework is required to protect the information of consumers. Also, the regulatory measures for addressing online scams and digital frauds need to be addressed too. Clear understanding is required whether the consumer rights had been addressed in the </w:t>
            </w:r>
            <w:r w:rsidRPr="00B01050">
              <w:rPr>
                <w:bCs/>
                <w:lang w:val="en-AU" w:eastAsia="ko-KR"/>
              </w:rPr>
              <w:lastRenderedPageBreak/>
              <w:t>existing law, as well as the gaps in the present legal framework which may cause disadvantage to consumers.</w:t>
            </w:r>
          </w:p>
          <w:p w14:paraId="6DEC3BBE" w14:textId="37DB7D8F"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The scope of this Work Item is to study the issues and challenges of online scams and digital financial frauds taking into account the consumer information protection and rights and prepare a report accordingly for developing new policies and regulations and changing old policies</w:t>
            </w:r>
          </w:p>
          <w:p w14:paraId="1ABCE6BB"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Therefore, SATRC members are welcome to share their experiences &amp; plans on the following issues:</w:t>
            </w:r>
          </w:p>
          <w:p w14:paraId="5BEC4D67"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1.</w:t>
            </w:r>
            <w:r w:rsidRPr="00B01050">
              <w:rPr>
                <w:bCs/>
                <w:lang w:val="en-AU" w:eastAsia="ko-KR"/>
              </w:rPr>
              <w:tab/>
              <w:t>Emerging technologies and innovations used for digital transformation.</w:t>
            </w:r>
          </w:p>
          <w:p w14:paraId="13624E79"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2.</w:t>
            </w:r>
            <w:r w:rsidRPr="00B01050">
              <w:rPr>
                <w:bCs/>
                <w:lang w:val="en-AU" w:eastAsia="ko-KR"/>
              </w:rPr>
              <w:tab/>
              <w:t>Consumer-protection policies, standards, guidelines adopted by national regulatory agencies.</w:t>
            </w:r>
          </w:p>
          <w:p w14:paraId="3D693A92"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3.</w:t>
            </w:r>
            <w:r w:rsidRPr="00B01050">
              <w:rPr>
                <w:bCs/>
                <w:lang w:val="en-AU" w:eastAsia="ko-KR"/>
              </w:rPr>
              <w:tab/>
              <w:t xml:space="preserve">Collaboration with other local/international authorities to strengthen the capacities of digital consumers by sharing experiences and good practices. </w:t>
            </w:r>
          </w:p>
          <w:p w14:paraId="08F8B8E0"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4.</w:t>
            </w:r>
            <w:r w:rsidRPr="00B01050">
              <w:rPr>
                <w:bCs/>
                <w:lang w:val="en-AU" w:eastAsia="ko-KR"/>
              </w:rPr>
              <w:tab/>
              <w:t>Cross-border cooperation among regulators in protecting consumer information in the border-less digital economy.</w:t>
            </w:r>
          </w:p>
          <w:p w14:paraId="48D927F1"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5.</w:t>
            </w:r>
            <w:r w:rsidRPr="00B01050">
              <w:rPr>
                <w:bCs/>
                <w:lang w:val="en-AU" w:eastAsia="ko-KR"/>
              </w:rPr>
              <w:tab/>
              <w:t>Identifying the challenges faced in addressing these issues.</w:t>
            </w:r>
          </w:p>
          <w:p w14:paraId="4DDE15BA" w14:textId="77777777" w:rsidR="00B01050" w:rsidRPr="00B01050" w:rsidRDefault="00B01050" w:rsidP="00B01050">
            <w:pPr>
              <w:widowControl w:val="0"/>
              <w:overflowPunct w:val="0"/>
              <w:autoSpaceDE w:val="0"/>
              <w:autoSpaceDN w:val="0"/>
              <w:adjustRightInd w:val="0"/>
              <w:snapToGrid w:val="0"/>
              <w:spacing w:before="40" w:after="40"/>
              <w:jc w:val="both"/>
              <w:textAlignment w:val="baseline"/>
              <w:rPr>
                <w:bCs/>
                <w:lang w:val="en-AU" w:eastAsia="ko-KR"/>
              </w:rPr>
            </w:pPr>
            <w:r w:rsidRPr="00B01050">
              <w:rPr>
                <w:bCs/>
                <w:lang w:val="en-AU" w:eastAsia="ko-KR"/>
              </w:rPr>
              <w:t>6.</w:t>
            </w:r>
            <w:r w:rsidRPr="00B01050">
              <w:rPr>
                <w:bCs/>
                <w:lang w:val="en-AU" w:eastAsia="ko-KR"/>
              </w:rPr>
              <w:tab/>
              <w:t>Developing strategies to prevent these scams from happening.</w:t>
            </w:r>
          </w:p>
          <w:p w14:paraId="5437BF97" w14:textId="57FE95D1" w:rsidR="004442B0" w:rsidRPr="001169BE" w:rsidRDefault="004442B0" w:rsidP="00C936D1">
            <w:pPr>
              <w:widowControl w:val="0"/>
              <w:overflowPunct w:val="0"/>
              <w:autoSpaceDE w:val="0"/>
              <w:autoSpaceDN w:val="0"/>
              <w:adjustRightInd w:val="0"/>
              <w:snapToGrid w:val="0"/>
              <w:spacing w:before="40" w:after="40"/>
              <w:jc w:val="both"/>
              <w:textAlignment w:val="baseline"/>
              <w:rPr>
                <w:bCs/>
                <w:lang w:val="en-AU" w:eastAsia="ko-KR"/>
              </w:rPr>
            </w:pPr>
          </w:p>
        </w:tc>
      </w:tr>
      <w:tr w:rsidR="00D43BE0" w:rsidRPr="0096298D" w14:paraId="2E4C10F6" w14:textId="77777777" w:rsidTr="00D43BE0">
        <w:trPr>
          <w:trHeight w:val="809"/>
        </w:trPr>
        <w:tc>
          <w:tcPr>
            <w:tcW w:w="2737" w:type="dxa"/>
          </w:tcPr>
          <w:p w14:paraId="03FD26B1" w14:textId="77777777" w:rsidR="00D43BE0" w:rsidRPr="001169BE" w:rsidRDefault="00D43BE0" w:rsidP="00F33A67">
            <w:pPr>
              <w:snapToGrid w:val="0"/>
              <w:spacing w:before="40" w:after="40"/>
              <w:rPr>
                <w:rFonts w:eastAsia="Batang"/>
                <w:b/>
              </w:rPr>
            </w:pPr>
            <w:r w:rsidRPr="001169BE">
              <w:rPr>
                <w:rFonts w:eastAsia="Batang"/>
                <w:b/>
              </w:rPr>
              <w:lastRenderedPageBreak/>
              <w:t>How the output will be beneficial for SATRC Members</w:t>
            </w:r>
          </w:p>
        </w:tc>
        <w:tc>
          <w:tcPr>
            <w:tcW w:w="6426" w:type="dxa"/>
          </w:tcPr>
          <w:p w14:paraId="21C21929" w14:textId="77777777" w:rsidR="00D43BE0" w:rsidRPr="001169BE" w:rsidRDefault="00D43BE0" w:rsidP="00F33A67">
            <w:pPr>
              <w:widowControl w:val="0"/>
              <w:overflowPunct w:val="0"/>
              <w:autoSpaceDE w:val="0"/>
              <w:autoSpaceDN w:val="0"/>
              <w:adjustRightInd w:val="0"/>
              <w:snapToGrid w:val="0"/>
              <w:spacing w:before="40" w:after="40"/>
              <w:jc w:val="both"/>
              <w:textAlignment w:val="baseline"/>
              <w:rPr>
                <w:bCs/>
                <w:lang w:val="en-AU" w:eastAsia="ko-KR"/>
              </w:rPr>
            </w:pPr>
            <w:r w:rsidRPr="001169BE">
              <w:rPr>
                <w:bCs/>
                <w:lang w:val="en-AU" w:eastAsia="ko-KR"/>
              </w:rPr>
              <w:t>The output of this study will offer guidance to the authorities and regulators in SATRC countries to design or enhance policies and regulations that can effectively tackle online scams and digital financial frauds. This will help to create a conducive environment for digital transformation.</w:t>
            </w:r>
          </w:p>
        </w:tc>
      </w:tr>
      <w:tr w:rsidR="00D43BE0" w:rsidRPr="0096298D" w14:paraId="4700E6C5" w14:textId="77777777" w:rsidTr="00691D95">
        <w:trPr>
          <w:trHeight w:val="440"/>
        </w:trPr>
        <w:tc>
          <w:tcPr>
            <w:tcW w:w="2737" w:type="dxa"/>
          </w:tcPr>
          <w:p w14:paraId="373389C1" w14:textId="77777777" w:rsidR="00D43BE0" w:rsidRPr="001169BE" w:rsidRDefault="00D43BE0" w:rsidP="00F33A67">
            <w:pPr>
              <w:snapToGrid w:val="0"/>
              <w:spacing w:before="40" w:after="40"/>
              <w:rPr>
                <w:rFonts w:eastAsia="Batang"/>
                <w:b/>
              </w:rPr>
            </w:pPr>
            <w:r w:rsidRPr="003247FB">
              <w:rPr>
                <w:rFonts w:eastAsia="Batang"/>
                <w:b/>
              </w:rPr>
              <w:t>Time Frame</w:t>
            </w:r>
          </w:p>
        </w:tc>
        <w:tc>
          <w:tcPr>
            <w:tcW w:w="6426" w:type="dxa"/>
          </w:tcPr>
          <w:p w14:paraId="7C0FE6E2"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draft Questionnaire (April 2024)</w:t>
            </w:r>
          </w:p>
          <w:p w14:paraId="091976A6"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Approval of the Questionnaire at the first meeting of the Working Group on PRS (May 2024)</w:t>
            </w:r>
          </w:p>
          <w:p w14:paraId="3DBFFCB8" w14:textId="77777777" w:rsidR="00D839D5"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Circulation of the Questionnaire to SATRC Members (May 2024) </w:t>
            </w:r>
          </w:p>
          <w:p w14:paraId="30E96C3D" w14:textId="46BF8E39"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Response to the Questionnaire received from SATRC Members (August 2024) </w:t>
            </w:r>
          </w:p>
          <w:p w14:paraId="05EA20E7"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first version of the draft Report (November 2024) Discussion on the first version of the draft Report (February 2025) </w:t>
            </w:r>
          </w:p>
          <w:p w14:paraId="01FCEF00"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second version of the draft Report (April 2025)</w:t>
            </w:r>
          </w:p>
          <w:p w14:paraId="5F698580"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second version of the draft Report (May 2025) </w:t>
            </w:r>
          </w:p>
          <w:p w14:paraId="6E3369AC"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third version of the draft Report (June 2025) </w:t>
            </w:r>
          </w:p>
          <w:p w14:paraId="4569EB16"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third version of the draft Report (July 2025) </w:t>
            </w:r>
          </w:p>
          <w:p w14:paraId="0B6C91B9" w14:textId="77777777" w:rsid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final version of draft report (August </w:t>
            </w:r>
            <w:r w:rsidRPr="00B05DF2">
              <w:rPr>
                <w:lang w:val="en-AU" w:eastAsia="ko-KR"/>
              </w:rPr>
              <w:lastRenderedPageBreak/>
              <w:t>2025)</w:t>
            </w:r>
          </w:p>
          <w:p w14:paraId="4F388987" w14:textId="5F1F1ACE" w:rsidR="00D43BE0" w:rsidRP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55AC3">
              <w:rPr>
                <w:lang w:val="en-AU" w:eastAsia="ko-KR"/>
              </w:rPr>
              <w:t>Approval of the final version of draft report in the second meeting of the Working Group on PRS (September 2025)</w:t>
            </w:r>
          </w:p>
        </w:tc>
      </w:tr>
      <w:tr w:rsidR="00D43BE0" w:rsidRPr="0096298D" w14:paraId="47F5EFE4" w14:textId="77777777" w:rsidTr="00691D95">
        <w:trPr>
          <w:trHeight w:val="440"/>
        </w:trPr>
        <w:tc>
          <w:tcPr>
            <w:tcW w:w="2737" w:type="dxa"/>
          </w:tcPr>
          <w:p w14:paraId="08A1EE88" w14:textId="77777777" w:rsidR="00D43BE0" w:rsidRPr="001169BE" w:rsidRDefault="00D43BE0" w:rsidP="00F33A67">
            <w:pPr>
              <w:snapToGrid w:val="0"/>
              <w:spacing w:before="40" w:after="40"/>
              <w:rPr>
                <w:rFonts w:eastAsia="Batang"/>
                <w:b/>
              </w:rPr>
            </w:pPr>
            <w:r w:rsidRPr="003247FB">
              <w:rPr>
                <w:rFonts w:eastAsia="Batang"/>
                <w:b/>
              </w:rPr>
              <w:lastRenderedPageBreak/>
              <w:t>Utilization of Output</w:t>
            </w:r>
          </w:p>
        </w:tc>
        <w:tc>
          <w:tcPr>
            <w:tcW w:w="6426" w:type="dxa"/>
          </w:tcPr>
          <w:p w14:paraId="47489E83" w14:textId="77777777" w:rsidR="00D43BE0" w:rsidRPr="001169BE" w:rsidRDefault="00D43BE0" w:rsidP="00F33A67">
            <w:pPr>
              <w:widowControl w:val="0"/>
              <w:overflowPunct w:val="0"/>
              <w:autoSpaceDE w:val="0"/>
              <w:autoSpaceDN w:val="0"/>
              <w:adjustRightInd w:val="0"/>
              <w:snapToGrid w:val="0"/>
              <w:spacing w:before="40" w:after="40"/>
              <w:jc w:val="both"/>
              <w:textAlignment w:val="baseline"/>
              <w:rPr>
                <w:bCs/>
                <w:lang w:val="en-AU"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r w:rsidRPr="001169BE">
              <w:rPr>
                <w:bCs/>
                <w:lang w:val="en-AU" w:eastAsia="ko-KR"/>
              </w:rPr>
              <w:t>.</w:t>
            </w:r>
          </w:p>
        </w:tc>
      </w:tr>
    </w:tbl>
    <w:p w14:paraId="09267148" w14:textId="22D496EC" w:rsidR="00124BD0" w:rsidRDefault="00124BD0" w:rsidP="00B54E5F"/>
    <w:p w14:paraId="50AEA550" w14:textId="3AAD4B66" w:rsidR="00124BD0" w:rsidRDefault="00124BD0" w:rsidP="00B54E5F"/>
    <w:p w14:paraId="25325229" w14:textId="1686BB06" w:rsidR="00124BD0" w:rsidRDefault="00124BD0" w:rsidP="00B54E5F"/>
    <w:tbl>
      <w:tblPr>
        <w:tblStyle w:val="TableGrid"/>
        <w:tblW w:w="0" w:type="auto"/>
        <w:tblLook w:val="04A0" w:firstRow="1" w:lastRow="0" w:firstColumn="1" w:lastColumn="0" w:noHBand="0" w:noVBand="1"/>
      </w:tblPr>
      <w:tblGrid>
        <w:gridCol w:w="2155"/>
        <w:gridCol w:w="6861"/>
      </w:tblGrid>
      <w:tr w:rsidR="007947BD" w14:paraId="6BD94A97" w14:textId="77777777" w:rsidTr="007947BD">
        <w:tc>
          <w:tcPr>
            <w:tcW w:w="2155" w:type="dxa"/>
            <w:shd w:val="clear" w:color="auto" w:fill="D9D9D9" w:themeFill="background1" w:themeFillShade="D9"/>
          </w:tcPr>
          <w:p w14:paraId="02D24635" w14:textId="77777777" w:rsidR="007947BD" w:rsidRPr="007947BD" w:rsidRDefault="007947BD" w:rsidP="00961D5F">
            <w:pPr>
              <w:rPr>
                <w:b/>
                <w:bCs/>
              </w:rPr>
            </w:pPr>
            <w:r w:rsidRPr="007947BD">
              <w:rPr>
                <w:b/>
                <w:bCs/>
              </w:rPr>
              <w:t>Work Item</w:t>
            </w:r>
          </w:p>
        </w:tc>
        <w:tc>
          <w:tcPr>
            <w:tcW w:w="6861" w:type="dxa"/>
            <w:shd w:val="clear" w:color="auto" w:fill="D9D9D9" w:themeFill="background1" w:themeFillShade="D9"/>
          </w:tcPr>
          <w:p w14:paraId="57DC1799" w14:textId="1E6052D3" w:rsidR="007947BD" w:rsidRDefault="007947BD" w:rsidP="00961D5F">
            <w:r w:rsidRPr="007947BD">
              <w:rPr>
                <w:b/>
                <w:bCs/>
              </w:rPr>
              <w:t>Analyzing the impact of convergence and emerging services of the Tariff policies in SATRC countries.</w:t>
            </w:r>
            <w:r>
              <w:t xml:space="preserve">   </w:t>
            </w:r>
          </w:p>
          <w:p w14:paraId="31823934" w14:textId="77777777" w:rsidR="007947BD" w:rsidRDefault="007947BD" w:rsidP="00961D5F"/>
        </w:tc>
      </w:tr>
      <w:tr w:rsidR="007947BD" w14:paraId="01D6DCD5" w14:textId="77777777" w:rsidTr="00691D95">
        <w:trPr>
          <w:trHeight w:val="287"/>
        </w:trPr>
        <w:tc>
          <w:tcPr>
            <w:tcW w:w="2155" w:type="dxa"/>
          </w:tcPr>
          <w:p w14:paraId="0A0F86BC" w14:textId="77777777" w:rsidR="007947BD" w:rsidRPr="007947BD" w:rsidRDefault="007947BD" w:rsidP="00961D5F">
            <w:pPr>
              <w:rPr>
                <w:b/>
                <w:bCs/>
              </w:rPr>
            </w:pPr>
            <w:r w:rsidRPr="007947BD">
              <w:rPr>
                <w:b/>
                <w:bCs/>
              </w:rPr>
              <w:t>Lead Expert</w:t>
            </w:r>
          </w:p>
        </w:tc>
        <w:tc>
          <w:tcPr>
            <w:tcW w:w="6861" w:type="dxa"/>
          </w:tcPr>
          <w:p w14:paraId="5E6FCB4B" w14:textId="2C02A0C9" w:rsidR="007947BD" w:rsidRDefault="00834059" w:rsidP="00961D5F">
            <w:r>
              <w:t>Mr. Mohammad Farhan Alam, BTRC (Bangladesh)</w:t>
            </w:r>
          </w:p>
        </w:tc>
      </w:tr>
      <w:tr w:rsidR="00B6308E" w:rsidRPr="008D0A54" w14:paraId="466A3386" w14:textId="77777777" w:rsidTr="00961D5F">
        <w:tc>
          <w:tcPr>
            <w:tcW w:w="2155" w:type="dxa"/>
          </w:tcPr>
          <w:p w14:paraId="12385149" w14:textId="2A0C122A" w:rsidR="00B6308E" w:rsidRPr="007947BD" w:rsidRDefault="00B6308E" w:rsidP="00961D5F">
            <w:pPr>
              <w:rPr>
                <w:b/>
                <w:bCs/>
              </w:rPr>
            </w:pPr>
            <w:r>
              <w:rPr>
                <w:b/>
                <w:bCs/>
              </w:rPr>
              <w:t>Co-Lead Expert</w:t>
            </w:r>
          </w:p>
        </w:tc>
        <w:tc>
          <w:tcPr>
            <w:tcW w:w="6861" w:type="dxa"/>
          </w:tcPr>
          <w:p w14:paraId="159313C5" w14:textId="7720875F" w:rsidR="00B6308E" w:rsidRPr="008D0A54" w:rsidRDefault="005B2F97" w:rsidP="00961D5F">
            <w:r>
              <w:t xml:space="preserve">Tshering Dorji, </w:t>
            </w:r>
            <w:r w:rsidR="00B753D4">
              <w:t>BICMA</w:t>
            </w:r>
            <w:r w:rsidR="006F117D" w:rsidRPr="008D0A54">
              <w:t xml:space="preserve"> (Bhutan)</w:t>
            </w:r>
            <w:r>
              <w:br/>
              <w:t>Tshering Penjor, BICMA (Bhutan)</w:t>
            </w:r>
            <w:r w:rsidR="00A92664" w:rsidRPr="008D0A54">
              <w:br/>
              <w:t xml:space="preserve">Ms. Zulaikha </w:t>
            </w:r>
            <w:r w:rsidR="008D0A54" w:rsidRPr="008D0A54">
              <w:t>Ibrahim, CAM (Mald</w:t>
            </w:r>
            <w:r w:rsidR="008D0A54">
              <w:t>ives)</w:t>
            </w:r>
          </w:p>
        </w:tc>
      </w:tr>
      <w:tr w:rsidR="007947BD" w14:paraId="469A202A" w14:textId="77777777" w:rsidTr="00961D5F">
        <w:tc>
          <w:tcPr>
            <w:tcW w:w="2155" w:type="dxa"/>
          </w:tcPr>
          <w:p w14:paraId="2AE29007" w14:textId="77777777" w:rsidR="007947BD" w:rsidRPr="007947BD" w:rsidRDefault="007947BD" w:rsidP="00961D5F">
            <w:pPr>
              <w:rPr>
                <w:b/>
                <w:bCs/>
              </w:rPr>
            </w:pPr>
            <w:r w:rsidRPr="007947BD">
              <w:rPr>
                <w:b/>
                <w:bCs/>
              </w:rPr>
              <w:t xml:space="preserve">Proposed by </w:t>
            </w:r>
          </w:p>
        </w:tc>
        <w:tc>
          <w:tcPr>
            <w:tcW w:w="6861" w:type="dxa"/>
          </w:tcPr>
          <w:p w14:paraId="50BC1C4F" w14:textId="6CCCEE72" w:rsidR="007947BD" w:rsidRDefault="007947BD" w:rsidP="00961D5F">
            <w:r>
              <w:t>Bangladesh Telecommunication Regulatory Commission (BTRC)</w:t>
            </w:r>
          </w:p>
          <w:p w14:paraId="5B96E348" w14:textId="77777777" w:rsidR="007947BD" w:rsidRDefault="007947BD" w:rsidP="00961D5F"/>
        </w:tc>
      </w:tr>
      <w:tr w:rsidR="007947BD" w14:paraId="34059893" w14:textId="77777777" w:rsidTr="00961D5F">
        <w:tc>
          <w:tcPr>
            <w:tcW w:w="2155" w:type="dxa"/>
          </w:tcPr>
          <w:p w14:paraId="21D0D163" w14:textId="77777777" w:rsidR="007947BD" w:rsidRPr="007947BD" w:rsidRDefault="007947BD" w:rsidP="00961D5F">
            <w:pPr>
              <w:rPr>
                <w:b/>
                <w:bCs/>
              </w:rPr>
            </w:pPr>
            <w:r w:rsidRPr="007947BD">
              <w:rPr>
                <w:b/>
                <w:bCs/>
              </w:rPr>
              <w:t>Responsible Working Group</w:t>
            </w:r>
          </w:p>
        </w:tc>
        <w:tc>
          <w:tcPr>
            <w:tcW w:w="6861" w:type="dxa"/>
          </w:tcPr>
          <w:p w14:paraId="62FD8C8B" w14:textId="77777777" w:rsidR="007947BD" w:rsidRDefault="007947BD" w:rsidP="00961D5F">
            <w:r>
              <w:t>Working Group on Policy, Regulation and Services (PRS)</w:t>
            </w:r>
          </w:p>
        </w:tc>
      </w:tr>
      <w:tr w:rsidR="007947BD" w14:paraId="44A2B105" w14:textId="77777777" w:rsidTr="00961D5F">
        <w:tc>
          <w:tcPr>
            <w:tcW w:w="2155" w:type="dxa"/>
          </w:tcPr>
          <w:p w14:paraId="55BAFE57" w14:textId="77777777" w:rsidR="007947BD" w:rsidRPr="007947BD" w:rsidRDefault="007947BD" w:rsidP="00961D5F">
            <w:pPr>
              <w:rPr>
                <w:b/>
                <w:bCs/>
              </w:rPr>
            </w:pPr>
            <w:r w:rsidRPr="007947BD">
              <w:rPr>
                <w:b/>
                <w:bCs/>
              </w:rPr>
              <w:t>Output</w:t>
            </w:r>
          </w:p>
        </w:tc>
        <w:tc>
          <w:tcPr>
            <w:tcW w:w="6861" w:type="dxa"/>
          </w:tcPr>
          <w:p w14:paraId="01BC3FA1" w14:textId="77777777" w:rsidR="007947BD" w:rsidRDefault="007947BD" w:rsidP="00961D5F">
            <w:r>
              <w:t>Analytical Report</w:t>
            </w:r>
          </w:p>
          <w:p w14:paraId="2DE1A5CF" w14:textId="77777777" w:rsidR="007947BD" w:rsidRDefault="007947BD" w:rsidP="00961D5F"/>
        </w:tc>
      </w:tr>
      <w:tr w:rsidR="007947BD" w14:paraId="5D9C1058" w14:textId="77777777" w:rsidTr="00961D5F">
        <w:tc>
          <w:tcPr>
            <w:tcW w:w="2155" w:type="dxa"/>
          </w:tcPr>
          <w:p w14:paraId="306DEDDA" w14:textId="77777777" w:rsidR="007947BD" w:rsidRPr="007947BD" w:rsidRDefault="007947BD" w:rsidP="00961D5F">
            <w:pPr>
              <w:rPr>
                <w:b/>
                <w:bCs/>
              </w:rPr>
            </w:pPr>
            <w:r w:rsidRPr="007947BD">
              <w:rPr>
                <w:b/>
                <w:bCs/>
              </w:rPr>
              <w:t>Background and Purpose</w:t>
            </w:r>
          </w:p>
        </w:tc>
        <w:tc>
          <w:tcPr>
            <w:tcW w:w="6861" w:type="dxa"/>
          </w:tcPr>
          <w:p w14:paraId="044A804B" w14:textId="5D30F56F" w:rsidR="007947BD" w:rsidRDefault="007947BD" w:rsidP="00961D5F">
            <w:pPr>
              <w:jc w:val="both"/>
            </w:pPr>
            <w:r>
              <w:t xml:space="preserve">As like all others countries, SATRC countries have also overseen transition from traditional circuit based network to IP based </w:t>
            </w:r>
            <w:r w:rsidR="00335A38">
              <w:t>network</w:t>
            </w:r>
            <w:r>
              <w:t xml:space="preserve"> in the last decade.it has not only transformed the network topology and service delivery, but also the method of price regulation, This is specially creating new tariff setting methodologies to balance among, but not limited to, decreasing ARPU, increasing investment requirement, maintaining competition, auctioning spectrum, tax policy etc. This work item aims at analyzing the change in the tariff setting methods in the SATRC countries, </w:t>
            </w:r>
            <w:r w:rsidR="00335A38">
              <w:t>e</w:t>
            </w:r>
            <w:r>
              <w:t xml:space="preserve">specially it will focus in the shifting strategy of the regulators in addressing the convergence of network and service as well as how they are balancing among different conflicting factors.     </w:t>
            </w:r>
          </w:p>
          <w:p w14:paraId="39286449" w14:textId="77777777" w:rsidR="007947BD" w:rsidRDefault="007947BD" w:rsidP="00961D5F">
            <w:r>
              <w:t xml:space="preserve">  </w:t>
            </w:r>
          </w:p>
        </w:tc>
      </w:tr>
      <w:tr w:rsidR="007947BD" w14:paraId="1F02C9E2" w14:textId="77777777" w:rsidTr="00961D5F">
        <w:tc>
          <w:tcPr>
            <w:tcW w:w="2155" w:type="dxa"/>
          </w:tcPr>
          <w:p w14:paraId="472BF947" w14:textId="77777777" w:rsidR="007947BD" w:rsidRPr="007947BD" w:rsidRDefault="007947BD" w:rsidP="00961D5F">
            <w:pPr>
              <w:rPr>
                <w:b/>
                <w:bCs/>
              </w:rPr>
            </w:pPr>
            <w:r w:rsidRPr="007947BD">
              <w:rPr>
                <w:b/>
                <w:bCs/>
              </w:rPr>
              <w:t>Scope</w:t>
            </w:r>
          </w:p>
        </w:tc>
        <w:tc>
          <w:tcPr>
            <w:tcW w:w="6861" w:type="dxa"/>
          </w:tcPr>
          <w:p w14:paraId="7D06F58D" w14:textId="77777777" w:rsidR="007947BD" w:rsidRDefault="007947BD" w:rsidP="00961D5F">
            <w:pPr>
              <w:jc w:val="both"/>
            </w:pPr>
            <w:r>
              <w:t>The work item will collect the tariff policies from SATRC members, would use questionnaire to received information on the regulatory strategy of different countries with and would analyses them. It will present good practices followed across the region and would document the plan and strategy of SATRC members in addressing emerging and new dynamics in the industry.</w:t>
            </w:r>
          </w:p>
          <w:p w14:paraId="0F071D7C" w14:textId="77777777" w:rsidR="007947BD" w:rsidRDefault="007947BD" w:rsidP="00961D5F">
            <w:pPr>
              <w:jc w:val="both"/>
            </w:pPr>
          </w:p>
        </w:tc>
      </w:tr>
      <w:tr w:rsidR="007947BD" w14:paraId="73987775" w14:textId="77777777" w:rsidTr="00961D5F">
        <w:tc>
          <w:tcPr>
            <w:tcW w:w="2155" w:type="dxa"/>
          </w:tcPr>
          <w:p w14:paraId="4907A08B" w14:textId="77777777" w:rsidR="007947BD" w:rsidRPr="007947BD" w:rsidRDefault="007947BD" w:rsidP="00961D5F">
            <w:pPr>
              <w:rPr>
                <w:b/>
                <w:bCs/>
              </w:rPr>
            </w:pPr>
            <w:r w:rsidRPr="007947BD">
              <w:rPr>
                <w:b/>
                <w:bCs/>
              </w:rPr>
              <w:t>How the output will be beneficial for SATRC Members</w:t>
            </w:r>
          </w:p>
        </w:tc>
        <w:tc>
          <w:tcPr>
            <w:tcW w:w="6861" w:type="dxa"/>
          </w:tcPr>
          <w:p w14:paraId="44A6CC3D" w14:textId="77777777" w:rsidR="007947BD" w:rsidRDefault="007947BD" w:rsidP="00961D5F">
            <w:pPr>
              <w:jc w:val="both"/>
            </w:pPr>
            <w:r>
              <w:t>The outcome of this work item will act as a good reference for member countries to know about alternative measures of tariff policy in changed and converged network era and an opportunity to share knowledge from good practices for their own planning.</w:t>
            </w:r>
          </w:p>
          <w:p w14:paraId="4DF60E89" w14:textId="77777777" w:rsidR="007947BD" w:rsidRDefault="007947BD" w:rsidP="00961D5F">
            <w:pPr>
              <w:jc w:val="both"/>
            </w:pPr>
          </w:p>
        </w:tc>
      </w:tr>
      <w:tr w:rsidR="007947BD" w14:paraId="2C2C0A52" w14:textId="77777777" w:rsidTr="00961D5F">
        <w:tc>
          <w:tcPr>
            <w:tcW w:w="2155" w:type="dxa"/>
          </w:tcPr>
          <w:p w14:paraId="3B2BAD9A" w14:textId="77777777" w:rsidR="007947BD" w:rsidRPr="007947BD" w:rsidRDefault="007947BD" w:rsidP="00961D5F">
            <w:pPr>
              <w:rPr>
                <w:b/>
                <w:bCs/>
              </w:rPr>
            </w:pPr>
            <w:r w:rsidRPr="007947BD">
              <w:rPr>
                <w:b/>
                <w:bCs/>
              </w:rPr>
              <w:t>Time Frame</w:t>
            </w:r>
          </w:p>
        </w:tc>
        <w:tc>
          <w:tcPr>
            <w:tcW w:w="6861" w:type="dxa"/>
          </w:tcPr>
          <w:p w14:paraId="77A12643"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draft Questionnaire (April 2024)</w:t>
            </w:r>
          </w:p>
          <w:p w14:paraId="7C45E341"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Approval of the Questionnaire at the first meeting of the Working Group on PRS (May 2024)</w:t>
            </w:r>
          </w:p>
          <w:p w14:paraId="0ED34CE7" w14:textId="77777777" w:rsidR="00D839D5"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Circulation of the Questionnaire to SATRC Members (May </w:t>
            </w:r>
            <w:r w:rsidRPr="00B05DF2">
              <w:rPr>
                <w:lang w:val="en-AU" w:eastAsia="ko-KR"/>
              </w:rPr>
              <w:lastRenderedPageBreak/>
              <w:t>2024)</w:t>
            </w:r>
          </w:p>
          <w:p w14:paraId="202C2BD4" w14:textId="3F9694B2"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Response to the Questionnaire received from SATRC Members (August 2024) </w:t>
            </w:r>
          </w:p>
          <w:p w14:paraId="599A1731"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first version of the draft Report (November 2024) Discussion on the first version of the draft Report (February 2025) </w:t>
            </w:r>
          </w:p>
          <w:p w14:paraId="07788EF7"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second version of the draft Report (April 2025)</w:t>
            </w:r>
          </w:p>
          <w:p w14:paraId="37115D3E"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second version of the draft Report (May 2025) </w:t>
            </w:r>
          </w:p>
          <w:p w14:paraId="3032E040"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third version of the draft Report (June 2025) </w:t>
            </w:r>
          </w:p>
          <w:p w14:paraId="2AD1D117"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third version of the draft Report (July 2025) </w:t>
            </w:r>
          </w:p>
          <w:p w14:paraId="4E4F3107" w14:textId="77777777" w:rsid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final version of draft report (August 2025)</w:t>
            </w:r>
          </w:p>
          <w:p w14:paraId="15AFCE94" w14:textId="4F18B2EF" w:rsidR="007947BD" w:rsidRP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55AC3">
              <w:rPr>
                <w:lang w:val="en-AU" w:eastAsia="ko-KR"/>
              </w:rPr>
              <w:t>Approval of the final version of draft report in the second meeting of the Working Group on PRS (September 2025)</w:t>
            </w:r>
          </w:p>
          <w:p w14:paraId="1494D13F" w14:textId="77777777" w:rsidR="007947BD" w:rsidRDefault="007947BD" w:rsidP="00961D5F"/>
        </w:tc>
      </w:tr>
      <w:tr w:rsidR="007947BD" w14:paraId="163BC75C" w14:textId="77777777" w:rsidTr="00961D5F">
        <w:tc>
          <w:tcPr>
            <w:tcW w:w="2155" w:type="dxa"/>
          </w:tcPr>
          <w:p w14:paraId="3094BA9D" w14:textId="77777777" w:rsidR="007947BD" w:rsidRPr="007947BD" w:rsidRDefault="007947BD" w:rsidP="00961D5F">
            <w:pPr>
              <w:rPr>
                <w:b/>
                <w:bCs/>
              </w:rPr>
            </w:pPr>
            <w:r w:rsidRPr="007947BD">
              <w:rPr>
                <w:b/>
                <w:bCs/>
              </w:rPr>
              <w:lastRenderedPageBreak/>
              <w:t>Utilization of Output</w:t>
            </w:r>
          </w:p>
        </w:tc>
        <w:tc>
          <w:tcPr>
            <w:tcW w:w="6861" w:type="dxa"/>
          </w:tcPr>
          <w:p w14:paraId="54C7F62C" w14:textId="77A30068" w:rsidR="00496CAF" w:rsidRDefault="00AF6FE6" w:rsidP="00961D5F">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p>
        </w:tc>
      </w:tr>
    </w:tbl>
    <w:p w14:paraId="1E7941CD" w14:textId="77777777" w:rsidR="00C32EE4" w:rsidRDefault="00C32EE4" w:rsidP="00572C2D">
      <w:pPr>
        <w:rPr>
          <w:b/>
          <w:bCs/>
          <w:lang w:eastAsia="ko-KR"/>
        </w:rPr>
      </w:pPr>
    </w:p>
    <w:p w14:paraId="5F90E6D9" w14:textId="77777777" w:rsidR="00C32EE4" w:rsidRDefault="00C32EE4" w:rsidP="00572C2D">
      <w:pPr>
        <w:rPr>
          <w:b/>
          <w:bCs/>
          <w:lang w:eastAsia="ko-KR"/>
        </w:rPr>
      </w:pPr>
    </w:p>
    <w:p w14:paraId="57DCBDF8" w14:textId="77777777" w:rsidR="00C32EE4" w:rsidRDefault="00C32EE4" w:rsidP="00572C2D">
      <w:pPr>
        <w:rPr>
          <w:b/>
          <w:bCs/>
          <w:lang w:eastAsia="ko-KR"/>
        </w:rPr>
      </w:pPr>
    </w:p>
    <w:tbl>
      <w:tblPr>
        <w:tblStyle w:val="TableGrid"/>
        <w:tblW w:w="0" w:type="auto"/>
        <w:tblLook w:val="04A0" w:firstRow="1" w:lastRow="0" w:firstColumn="1" w:lastColumn="0" w:noHBand="0" w:noVBand="1"/>
      </w:tblPr>
      <w:tblGrid>
        <w:gridCol w:w="2155"/>
        <w:gridCol w:w="6861"/>
      </w:tblGrid>
      <w:tr w:rsidR="00C32EE4" w14:paraId="6C433ABA" w14:textId="77777777" w:rsidTr="00F33A67">
        <w:tc>
          <w:tcPr>
            <w:tcW w:w="2155" w:type="dxa"/>
            <w:shd w:val="clear" w:color="auto" w:fill="D9D9D9" w:themeFill="background1" w:themeFillShade="D9"/>
          </w:tcPr>
          <w:p w14:paraId="4A70AC1C" w14:textId="77777777" w:rsidR="00C32EE4" w:rsidRPr="007947BD" w:rsidRDefault="00C32EE4" w:rsidP="00F33A67">
            <w:pPr>
              <w:rPr>
                <w:b/>
                <w:bCs/>
              </w:rPr>
            </w:pPr>
            <w:r w:rsidRPr="007947BD">
              <w:rPr>
                <w:b/>
                <w:bCs/>
              </w:rPr>
              <w:t>Work Item</w:t>
            </w:r>
          </w:p>
        </w:tc>
        <w:tc>
          <w:tcPr>
            <w:tcW w:w="6861" w:type="dxa"/>
            <w:shd w:val="clear" w:color="auto" w:fill="D9D9D9" w:themeFill="background1" w:themeFillShade="D9"/>
          </w:tcPr>
          <w:p w14:paraId="5F877FEB" w14:textId="6700D23A" w:rsidR="00C32EE4" w:rsidRDefault="00C32EE4" w:rsidP="00F33A67">
            <w:r w:rsidRPr="007947BD">
              <w:rPr>
                <w:b/>
                <w:bCs/>
              </w:rPr>
              <w:t>Smart cities and societies, experience and cases studies in SATRC countries in deploying IoT, Big Data and similar technologies</w:t>
            </w:r>
          </w:p>
        </w:tc>
      </w:tr>
      <w:tr w:rsidR="00C32EE4" w14:paraId="6DE343C6" w14:textId="77777777" w:rsidTr="00F33A67">
        <w:tc>
          <w:tcPr>
            <w:tcW w:w="2155" w:type="dxa"/>
          </w:tcPr>
          <w:p w14:paraId="6A30E209" w14:textId="77777777" w:rsidR="00C32EE4" w:rsidRPr="007947BD" w:rsidRDefault="00C32EE4" w:rsidP="00F33A67">
            <w:pPr>
              <w:rPr>
                <w:b/>
                <w:bCs/>
              </w:rPr>
            </w:pPr>
            <w:r w:rsidRPr="007947BD">
              <w:rPr>
                <w:b/>
                <w:bCs/>
              </w:rPr>
              <w:t>Lead Expert</w:t>
            </w:r>
          </w:p>
        </w:tc>
        <w:tc>
          <w:tcPr>
            <w:tcW w:w="6861" w:type="dxa"/>
          </w:tcPr>
          <w:p w14:paraId="23BB922B" w14:textId="4E61CD3A" w:rsidR="00C32EE4" w:rsidRDefault="00B6308E" w:rsidP="00F33A67">
            <w:r>
              <w:t>Mr. Ikram-ul-Haq Kiyani, PTA (Pakistan)</w:t>
            </w:r>
          </w:p>
        </w:tc>
      </w:tr>
      <w:tr w:rsidR="00B6308E" w14:paraId="3994539B" w14:textId="77777777" w:rsidTr="00F33A67">
        <w:tc>
          <w:tcPr>
            <w:tcW w:w="2155" w:type="dxa"/>
          </w:tcPr>
          <w:p w14:paraId="170F858A" w14:textId="1D6689A6" w:rsidR="00B6308E" w:rsidRPr="007947BD" w:rsidRDefault="00B6308E" w:rsidP="00F33A67">
            <w:pPr>
              <w:rPr>
                <w:b/>
                <w:bCs/>
              </w:rPr>
            </w:pPr>
            <w:r>
              <w:rPr>
                <w:b/>
                <w:bCs/>
              </w:rPr>
              <w:t>Co-Lead Expert</w:t>
            </w:r>
          </w:p>
        </w:tc>
        <w:tc>
          <w:tcPr>
            <w:tcW w:w="6861" w:type="dxa"/>
          </w:tcPr>
          <w:p w14:paraId="4982CA36" w14:textId="7619DA3B" w:rsidR="00B6308E" w:rsidRDefault="00B6308E" w:rsidP="00F33A67">
            <w:r>
              <w:t>Mr. Muhammad Zakaria Bhuiyan, BTRC (Bangladesh)</w:t>
            </w:r>
            <w:r w:rsidR="0031637C">
              <w:br/>
            </w:r>
            <w:r w:rsidR="0031637C" w:rsidRPr="005B2F97">
              <w:t>TRC (Sri Lanka)</w:t>
            </w:r>
          </w:p>
        </w:tc>
      </w:tr>
      <w:tr w:rsidR="00C32EE4" w14:paraId="0855D6BC" w14:textId="77777777" w:rsidTr="00F33A67">
        <w:tc>
          <w:tcPr>
            <w:tcW w:w="2155" w:type="dxa"/>
          </w:tcPr>
          <w:p w14:paraId="42AC000F" w14:textId="77777777" w:rsidR="00C32EE4" w:rsidRPr="007947BD" w:rsidRDefault="00C32EE4" w:rsidP="00F33A67">
            <w:pPr>
              <w:rPr>
                <w:b/>
                <w:bCs/>
              </w:rPr>
            </w:pPr>
            <w:r w:rsidRPr="007947BD">
              <w:rPr>
                <w:b/>
                <w:bCs/>
              </w:rPr>
              <w:t xml:space="preserve">Proposed by </w:t>
            </w:r>
          </w:p>
        </w:tc>
        <w:tc>
          <w:tcPr>
            <w:tcW w:w="6861" w:type="dxa"/>
          </w:tcPr>
          <w:p w14:paraId="5B8B2679" w14:textId="77777777" w:rsidR="00C32EE4" w:rsidRDefault="00C32EE4" w:rsidP="00F33A67">
            <w:r>
              <w:t>Bangladesh Telecommunication Regulatory Commission (BTRC)</w:t>
            </w:r>
          </w:p>
          <w:p w14:paraId="044FE6CC" w14:textId="77777777" w:rsidR="00C32EE4" w:rsidRDefault="00C32EE4" w:rsidP="00F33A67"/>
        </w:tc>
      </w:tr>
      <w:tr w:rsidR="00C32EE4" w14:paraId="044EB60D" w14:textId="77777777" w:rsidTr="00F33A67">
        <w:tc>
          <w:tcPr>
            <w:tcW w:w="2155" w:type="dxa"/>
          </w:tcPr>
          <w:p w14:paraId="601BADBB" w14:textId="77777777" w:rsidR="00C32EE4" w:rsidRPr="007947BD" w:rsidRDefault="00C32EE4" w:rsidP="00F33A67">
            <w:pPr>
              <w:rPr>
                <w:b/>
                <w:bCs/>
              </w:rPr>
            </w:pPr>
            <w:r w:rsidRPr="007947BD">
              <w:rPr>
                <w:b/>
                <w:bCs/>
              </w:rPr>
              <w:t>Responsible Working Group</w:t>
            </w:r>
          </w:p>
        </w:tc>
        <w:tc>
          <w:tcPr>
            <w:tcW w:w="6861" w:type="dxa"/>
          </w:tcPr>
          <w:p w14:paraId="20E4CB0F" w14:textId="77777777" w:rsidR="00C32EE4" w:rsidRDefault="00C32EE4" w:rsidP="00F33A67">
            <w:r>
              <w:t>Working Group on Policy, Regulation and Services (PRS)</w:t>
            </w:r>
          </w:p>
        </w:tc>
      </w:tr>
      <w:tr w:rsidR="00C32EE4" w14:paraId="26D8317C" w14:textId="77777777" w:rsidTr="00F33A67">
        <w:tc>
          <w:tcPr>
            <w:tcW w:w="2155" w:type="dxa"/>
          </w:tcPr>
          <w:p w14:paraId="5AAABBA8" w14:textId="77777777" w:rsidR="00C32EE4" w:rsidRPr="007947BD" w:rsidRDefault="00C32EE4" w:rsidP="00F33A67">
            <w:pPr>
              <w:rPr>
                <w:b/>
                <w:bCs/>
              </w:rPr>
            </w:pPr>
            <w:r w:rsidRPr="007947BD">
              <w:rPr>
                <w:b/>
                <w:bCs/>
              </w:rPr>
              <w:t>Output</w:t>
            </w:r>
          </w:p>
        </w:tc>
        <w:tc>
          <w:tcPr>
            <w:tcW w:w="6861" w:type="dxa"/>
          </w:tcPr>
          <w:p w14:paraId="62EDF8F1" w14:textId="77777777" w:rsidR="00C32EE4" w:rsidRDefault="00C32EE4" w:rsidP="00F33A67">
            <w:r>
              <w:t xml:space="preserve">Report comprising case studies and good practices. </w:t>
            </w:r>
          </w:p>
          <w:p w14:paraId="5E741861" w14:textId="77777777" w:rsidR="00C32EE4" w:rsidRDefault="00C32EE4" w:rsidP="00F33A67"/>
        </w:tc>
      </w:tr>
      <w:tr w:rsidR="00C32EE4" w:rsidRPr="00017F50" w14:paraId="1257DB8D" w14:textId="77777777" w:rsidTr="00F33A67">
        <w:tc>
          <w:tcPr>
            <w:tcW w:w="2155" w:type="dxa"/>
          </w:tcPr>
          <w:p w14:paraId="4EEF1945" w14:textId="77777777" w:rsidR="00C32EE4" w:rsidRPr="007947BD" w:rsidRDefault="00C32EE4" w:rsidP="00F33A67">
            <w:pPr>
              <w:rPr>
                <w:b/>
                <w:bCs/>
              </w:rPr>
            </w:pPr>
            <w:r w:rsidRPr="007947BD">
              <w:rPr>
                <w:b/>
                <w:bCs/>
              </w:rPr>
              <w:t>Background and Purpose</w:t>
            </w:r>
          </w:p>
        </w:tc>
        <w:tc>
          <w:tcPr>
            <w:tcW w:w="6861" w:type="dxa"/>
          </w:tcPr>
          <w:p w14:paraId="45A940E3" w14:textId="77777777" w:rsidR="00C32EE4" w:rsidRPr="00017F50" w:rsidRDefault="00C32EE4" w:rsidP="00F33A67">
            <w:pPr>
              <w:jc w:val="both"/>
            </w:pPr>
            <w:r w:rsidRPr="00017F50">
              <w:t>Internet of Things (IoT) can serve as a key enabler for creating smart infrastructure in urban and rural areas. Furthermore, IoT, Big Data or similar technologies are helping to promote development, research, and delivery of services, monitoring and evaluation of projects in different areas that encompass every aspect of human life. In view of expansion of the domain of such technologies, their potential needs to be adequately harnessed within the smart and sustainable city ecosystem, especially for the benefit of SATRC countries.</w:t>
            </w:r>
          </w:p>
          <w:p w14:paraId="5403015B" w14:textId="3A910EC8" w:rsidR="00C32EE4" w:rsidRPr="00017F50" w:rsidRDefault="00C32EE4" w:rsidP="00F33A67">
            <w:pPr>
              <w:jc w:val="both"/>
            </w:pPr>
            <w:r w:rsidRPr="00017F50">
              <w:t xml:space="preserve">This work item aims to contribute to the exchange of experience and good practices among the SATRC countries, allowing SATRC Regulators and their stakeholders with common interest’s similar characteristics to use this report as a reference for knowledge sharing and planning.   </w:t>
            </w:r>
          </w:p>
        </w:tc>
      </w:tr>
      <w:tr w:rsidR="00C32EE4" w:rsidRPr="00017F50" w14:paraId="444B3F97" w14:textId="77777777" w:rsidTr="00F33A67">
        <w:tc>
          <w:tcPr>
            <w:tcW w:w="2155" w:type="dxa"/>
          </w:tcPr>
          <w:p w14:paraId="4F8E5B61" w14:textId="77777777" w:rsidR="00C32EE4" w:rsidRPr="007947BD" w:rsidRDefault="00C32EE4" w:rsidP="00F33A67">
            <w:pPr>
              <w:rPr>
                <w:b/>
                <w:bCs/>
              </w:rPr>
            </w:pPr>
            <w:r w:rsidRPr="007947BD">
              <w:rPr>
                <w:b/>
                <w:bCs/>
              </w:rPr>
              <w:t>Scope</w:t>
            </w:r>
          </w:p>
        </w:tc>
        <w:tc>
          <w:tcPr>
            <w:tcW w:w="6861" w:type="dxa"/>
          </w:tcPr>
          <w:p w14:paraId="7D41118D" w14:textId="240EE3BB" w:rsidR="00C32EE4" w:rsidRPr="00017F50" w:rsidRDefault="00C32EE4" w:rsidP="00F33A67">
            <w:pPr>
              <w:jc w:val="both"/>
            </w:pPr>
            <w:r w:rsidRPr="00017F50">
              <w:t xml:space="preserve">Under this work item, case studies and experience of deploying IoT, Big Data of similar technologies for developing smart city and </w:t>
            </w:r>
            <w:r w:rsidRPr="00017F50">
              <w:lastRenderedPageBreak/>
              <w:t xml:space="preserve">societies would be collected from SATRC members, Through questionnaire their comment and suggestion would be sought for the effective deployment of smart technologies in SATRC region. </w:t>
            </w:r>
          </w:p>
        </w:tc>
      </w:tr>
      <w:tr w:rsidR="00C32EE4" w:rsidRPr="00017F50" w14:paraId="22024D79" w14:textId="77777777" w:rsidTr="00F33A67">
        <w:tc>
          <w:tcPr>
            <w:tcW w:w="2155" w:type="dxa"/>
          </w:tcPr>
          <w:p w14:paraId="15D356F4" w14:textId="77777777" w:rsidR="00C32EE4" w:rsidRPr="007947BD" w:rsidRDefault="00C32EE4" w:rsidP="00F33A67">
            <w:pPr>
              <w:rPr>
                <w:b/>
                <w:bCs/>
              </w:rPr>
            </w:pPr>
            <w:r w:rsidRPr="007947BD">
              <w:rPr>
                <w:b/>
                <w:bCs/>
              </w:rPr>
              <w:lastRenderedPageBreak/>
              <w:t>How the output will be beneficial for SATRC Members</w:t>
            </w:r>
          </w:p>
        </w:tc>
        <w:tc>
          <w:tcPr>
            <w:tcW w:w="6861" w:type="dxa"/>
          </w:tcPr>
          <w:p w14:paraId="67BB92F9" w14:textId="77777777" w:rsidR="00C32EE4" w:rsidRPr="00017F50" w:rsidRDefault="00C32EE4" w:rsidP="00F33A67">
            <w:pPr>
              <w:jc w:val="both"/>
            </w:pPr>
            <w:r w:rsidRPr="00017F50">
              <w:t xml:space="preserve">The outcome of the work item would benefit SATRC countries through the mutual knowledge sharing on smart initiatives, specially how the deployment of IoT, Big Data of similar technologies are promoted in their countries by the telecom regulator, It would help SATRC members in understanding the challenge from the experience of their peers and would help in their own planning.   </w:t>
            </w:r>
          </w:p>
        </w:tc>
      </w:tr>
      <w:tr w:rsidR="00C32EE4" w:rsidRPr="00017F50" w14:paraId="37E0E537" w14:textId="77777777" w:rsidTr="00F33A67">
        <w:tc>
          <w:tcPr>
            <w:tcW w:w="2155" w:type="dxa"/>
          </w:tcPr>
          <w:p w14:paraId="4D62EDD4" w14:textId="77777777" w:rsidR="00C32EE4" w:rsidRPr="007947BD" w:rsidRDefault="00C32EE4" w:rsidP="00F33A67">
            <w:pPr>
              <w:rPr>
                <w:b/>
                <w:bCs/>
              </w:rPr>
            </w:pPr>
            <w:r w:rsidRPr="007947BD">
              <w:rPr>
                <w:b/>
                <w:bCs/>
              </w:rPr>
              <w:t>Time Frame</w:t>
            </w:r>
          </w:p>
        </w:tc>
        <w:tc>
          <w:tcPr>
            <w:tcW w:w="6861" w:type="dxa"/>
          </w:tcPr>
          <w:p w14:paraId="06A79508"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draft Questionnaire (April 2024)</w:t>
            </w:r>
          </w:p>
          <w:p w14:paraId="660D0715"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Approval of the Questionnaire at the first meeting of the Working Group on PRS (May 2024)</w:t>
            </w:r>
          </w:p>
          <w:p w14:paraId="33250770" w14:textId="77777777" w:rsidR="00D839D5"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Circulation of the Questionnaire to SATRC Members (May 2024)</w:t>
            </w:r>
          </w:p>
          <w:p w14:paraId="1CD58CCB" w14:textId="3A88F4D3"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Response to the Questionnaire received from SATRC Members (August 2024) </w:t>
            </w:r>
          </w:p>
          <w:p w14:paraId="47870B42"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first version of the draft Report (November 2024) Discussion on the first version of the draft Report (February 2025) </w:t>
            </w:r>
          </w:p>
          <w:p w14:paraId="22C7AFB5"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second version of the draft Report (April 2025)</w:t>
            </w:r>
          </w:p>
          <w:p w14:paraId="61AC663A"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second version of the draft Report (May 2025) </w:t>
            </w:r>
          </w:p>
          <w:p w14:paraId="2DDAB71B"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Development of the third version of the draft Report (June 2025) </w:t>
            </w:r>
          </w:p>
          <w:p w14:paraId="3AAF6033" w14:textId="77777777" w:rsidR="00B55AC3" w:rsidRPr="00B05DF2"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 xml:space="preserve">Discussion on the third version of the draft Report (July 2025) </w:t>
            </w:r>
          </w:p>
          <w:p w14:paraId="750A52C0" w14:textId="77777777" w:rsid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05DF2">
              <w:rPr>
                <w:lang w:val="en-AU" w:eastAsia="ko-KR"/>
              </w:rPr>
              <w:t>Development of the final version of draft report (August 2025)</w:t>
            </w:r>
          </w:p>
          <w:p w14:paraId="674AB3CE" w14:textId="281581DE" w:rsidR="00C32EE4" w:rsidRPr="00B55AC3" w:rsidRDefault="00B55AC3" w:rsidP="00B55AC3">
            <w:pPr>
              <w:pStyle w:val="ListParagraph"/>
              <w:widowControl w:val="0"/>
              <w:numPr>
                <w:ilvl w:val="0"/>
                <w:numId w:val="30"/>
              </w:numPr>
              <w:overflowPunct w:val="0"/>
              <w:autoSpaceDE w:val="0"/>
              <w:autoSpaceDN w:val="0"/>
              <w:adjustRightInd w:val="0"/>
              <w:snapToGrid w:val="0"/>
              <w:spacing w:before="40" w:after="40"/>
              <w:jc w:val="both"/>
              <w:textAlignment w:val="baseline"/>
              <w:rPr>
                <w:lang w:val="en-AU" w:eastAsia="ko-KR"/>
              </w:rPr>
            </w:pPr>
            <w:r w:rsidRPr="00B55AC3">
              <w:rPr>
                <w:lang w:val="en-AU" w:eastAsia="ko-KR"/>
              </w:rPr>
              <w:t>Approval of the final version of draft report in the second meeting of the Working Group on PRS (September 2025)</w:t>
            </w:r>
          </w:p>
        </w:tc>
      </w:tr>
      <w:tr w:rsidR="00C32EE4" w:rsidRPr="00017F50" w14:paraId="0F401791" w14:textId="77777777" w:rsidTr="00F33A67">
        <w:tc>
          <w:tcPr>
            <w:tcW w:w="2155" w:type="dxa"/>
          </w:tcPr>
          <w:p w14:paraId="49C640BA" w14:textId="77777777" w:rsidR="00C32EE4" w:rsidRPr="007947BD" w:rsidRDefault="00C32EE4" w:rsidP="00F33A67">
            <w:pPr>
              <w:rPr>
                <w:b/>
                <w:bCs/>
              </w:rPr>
            </w:pPr>
            <w:r w:rsidRPr="007947BD">
              <w:rPr>
                <w:b/>
                <w:bCs/>
              </w:rPr>
              <w:t>Utilization of Output</w:t>
            </w:r>
          </w:p>
        </w:tc>
        <w:tc>
          <w:tcPr>
            <w:tcW w:w="6861" w:type="dxa"/>
          </w:tcPr>
          <w:p w14:paraId="55ADFFED" w14:textId="77777777" w:rsidR="00C32EE4" w:rsidRPr="00017F50" w:rsidRDefault="00C32EE4" w:rsidP="00F33A67">
            <w:r w:rsidRPr="00017F50">
              <w:t>Regulators, Governments, Industry Stakeholders</w:t>
            </w:r>
          </w:p>
        </w:tc>
      </w:tr>
    </w:tbl>
    <w:p w14:paraId="513106B3" w14:textId="77777777" w:rsidR="00307567" w:rsidRDefault="00307567" w:rsidP="00572C2D">
      <w:pPr>
        <w:rPr>
          <w:b/>
          <w:bCs/>
          <w:lang w:eastAsia="ko-KR"/>
        </w:rPr>
      </w:pPr>
    </w:p>
    <w:p w14:paraId="47CEBF87" w14:textId="77777777" w:rsidR="00307567" w:rsidRDefault="00307567" w:rsidP="00572C2D">
      <w:pPr>
        <w:rPr>
          <w:b/>
          <w:bCs/>
          <w:lang w:eastAsia="ko-KR"/>
        </w:rPr>
      </w:pPr>
    </w:p>
    <w:p w14:paraId="7DD03E59" w14:textId="60DADFF6" w:rsidR="00DF255A" w:rsidRDefault="00134EDE" w:rsidP="00572C2D">
      <w:pPr>
        <w:rPr>
          <w:b/>
          <w:bCs/>
          <w:lang w:eastAsia="ko-KR"/>
        </w:rPr>
      </w:pPr>
      <w:r>
        <w:rPr>
          <w:b/>
          <w:bCs/>
          <w:noProof/>
          <w:lang w:eastAsia="ko-KR"/>
        </w:rPr>
        <mc:AlternateContent>
          <mc:Choice Requires="wps">
            <w:drawing>
              <wp:anchor distT="0" distB="0" distL="114300" distR="114300" simplePos="0" relativeHeight="251658240" behindDoc="0" locked="0" layoutInCell="1" allowOverlap="1" wp14:anchorId="3EB7F933" wp14:editId="4264935E">
                <wp:simplePos x="0" y="0"/>
                <wp:positionH relativeFrom="column">
                  <wp:posOffset>2361234</wp:posOffset>
                </wp:positionH>
                <wp:positionV relativeFrom="paragraph">
                  <wp:posOffset>643199</wp:posOffset>
                </wp:positionV>
                <wp:extent cx="11343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4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FA8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9pt,50.65pt" to="275.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" strokecolor="black [3040]"/>
            </w:pict>
          </mc:Fallback>
        </mc:AlternateContent>
      </w:r>
    </w:p>
    <w:sectPr w:rsidR="00DF255A" w:rsidSect="00EB0502">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4289C" w14:textId="77777777" w:rsidR="00196B88" w:rsidRDefault="00196B88">
      <w:r>
        <w:separator/>
      </w:r>
    </w:p>
  </w:endnote>
  <w:endnote w:type="continuationSeparator" w:id="0">
    <w:p w14:paraId="67757E55" w14:textId="77777777" w:rsidR="00196B88" w:rsidRDefault="00196B88">
      <w:r>
        <w:continuationSeparator/>
      </w:r>
    </w:p>
  </w:endnote>
  <w:endnote w:type="continuationNotice" w:id="1">
    <w:p w14:paraId="3BF50565" w14:textId="77777777" w:rsidR="00196B88" w:rsidRDefault="00196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휴먼명조">
    <w:altName w:val="Malgun Gothic"/>
    <w:charset w:val="81"/>
    <w:family w:val="roman"/>
    <w:pitch w:val="variable"/>
    <w:sig w:usb0="00000000" w:usb1="29D77CFB" w:usb2="00000010" w:usb3="00000000" w:csb0="0008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C99E6" w14:textId="77777777" w:rsidR="00C652E9" w:rsidRDefault="00C652E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8F9CD" w14:textId="77777777" w:rsidR="00C652E9" w:rsidRDefault="00C652E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7E498" w14:textId="49086F8E" w:rsidR="00C652E9" w:rsidRDefault="00C652E9" w:rsidP="003C7A3F">
    <w:pPr>
      <w:pStyle w:val="Header"/>
      <w:tabs>
        <w:tab w:val="clear" w:pos="4320"/>
        <w:tab w:val="clear" w:pos="8640"/>
        <w:tab w:val="right" w:pos="9270"/>
      </w:tabs>
      <w:rPr>
        <w:rStyle w:val="PageNumber"/>
        <w:lang w:eastAsia="ko-KR"/>
      </w:rPr>
    </w:pPr>
    <w:r>
      <w:rPr>
        <w:lang w:eastAsia="ko-KR"/>
      </w:rPr>
      <w:t>SA</w:t>
    </w:r>
    <w:r w:rsidR="009F4704">
      <w:rPr>
        <w:lang w:eastAsia="ko-KR"/>
      </w:rPr>
      <w:t>PIX-PRS1/</w:t>
    </w:r>
    <w:r w:rsidR="00E84977">
      <w:rPr>
        <w:lang w:eastAsia="ko-KR"/>
      </w:rPr>
      <w:t>INP</w:t>
    </w:r>
    <w:r w:rsidR="009F4704">
      <w:rPr>
        <w:lang w:eastAsia="ko-KR"/>
      </w:rPr>
      <w:t>-</w:t>
    </w:r>
    <w:r w:rsidR="00BB0AEB">
      <w:rPr>
        <w:lang w:eastAsia="ko-KR"/>
      </w:rPr>
      <w:t>01</w:t>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62A7B">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62A7B">
      <w:rPr>
        <w:rStyle w:val="PageNumber"/>
        <w:noProof/>
      </w:rPr>
      <w:t>13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4" w:space="0" w:color="auto"/>
      </w:tblBorders>
      <w:tblLayout w:type="fixed"/>
      <w:tblCellMar>
        <w:left w:w="57" w:type="dxa"/>
        <w:right w:w="57" w:type="dxa"/>
      </w:tblCellMar>
      <w:tblLook w:val="0000" w:firstRow="0" w:lastRow="0" w:firstColumn="0" w:lastColumn="0" w:noHBand="0" w:noVBand="0"/>
    </w:tblPr>
    <w:tblGrid>
      <w:gridCol w:w="1296"/>
      <w:gridCol w:w="4752"/>
      <w:gridCol w:w="3168"/>
    </w:tblGrid>
    <w:tr w:rsidR="00C652E9" w14:paraId="7D830EF4" w14:textId="77777777" w:rsidTr="003C7A3F">
      <w:trPr>
        <w:cantSplit/>
        <w:trHeight w:val="204"/>
        <w:jc w:val="center"/>
      </w:trPr>
      <w:tc>
        <w:tcPr>
          <w:tcW w:w="1296" w:type="dxa"/>
        </w:tcPr>
        <w:p w14:paraId="223DEFD2" w14:textId="77777777" w:rsidR="00C652E9" w:rsidRDefault="00C652E9" w:rsidP="00762576">
          <w:pPr>
            <w:rPr>
              <w:b/>
              <w:bCs/>
            </w:rPr>
          </w:pPr>
          <w:r>
            <w:rPr>
              <w:b/>
              <w:bCs/>
            </w:rPr>
            <w:t>Contact:</w:t>
          </w:r>
        </w:p>
      </w:tc>
      <w:tc>
        <w:tcPr>
          <w:tcW w:w="4752" w:type="dxa"/>
        </w:tcPr>
        <w:p w14:paraId="763290CB" w14:textId="5DA660A3" w:rsidR="00C652E9" w:rsidRDefault="00C652E9" w:rsidP="00C7529E">
          <w:pPr>
            <w:pStyle w:val="Equation"/>
            <w:tabs>
              <w:tab w:val="clear" w:pos="4820"/>
              <w:tab w:val="clear" w:pos="9639"/>
              <w:tab w:val="left" w:pos="1191"/>
              <w:tab w:val="left" w:pos="1588"/>
              <w:tab w:val="left" w:pos="1985"/>
            </w:tabs>
            <w:spacing w:beforeLines="0" w:before="0"/>
            <w:rPr>
              <w:rFonts w:eastAsia="Batang"/>
            </w:rPr>
          </w:pPr>
        </w:p>
      </w:tc>
      <w:tc>
        <w:tcPr>
          <w:tcW w:w="3168" w:type="dxa"/>
        </w:tcPr>
        <w:p w14:paraId="0CE9B9A1" w14:textId="7DDB87CA" w:rsidR="00C652E9" w:rsidRDefault="00C652E9" w:rsidP="00DD3125">
          <w:pPr>
            <w:ind w:left="502"/>
            <w:rPr>
              <w:lang w:eastAsia="ja-JP"/>
            </w:rPr>
          </w:pPr>
          <w:r w:rsidRPr="003E242F">
            <w:rPr>
              <w:b/>
              <w:bCs/>
            </w:rPr>
            <w:t>Email</w:t>
          </w:r>
          <w:r w:rsidRPr="003E242F">
            <w:rPr>
              <w:rFonts w:hint="eastAsia"/>
              <w:b/>
              <w:bCs/>
            </w:rPr>
            <w:t>:</w:t>
          </w:r>
          <w:r>
            <w:rPr>
              <w:rFonts w:hint="eastAsia"/>
            </w:rPr>
            <w:t xml:space="preserve"> </w:t>
          </w:r>
        </w:p>
      </w:tc>
    </w:tr>
  </w:tbl>
  <w:p w14:paraId="27E1B30F" w14:textId="77777777" w:rsidR="00C652E9" w:rsidRPr="003C7A3F" w:rsidRDefault="00C652E9" w:rsidP="003C7A3F">
    <w:pPr>
      <w:pStyle w:val="Footer"/>
      <w:tabs>
        <w:tab w:val="clear" w:pos="4320"/>
        <w:tab w:val="clear" w:pos="8640"/>
        <w:tab w:val="right" w:pos="918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DB36C" w14:textId="77777777" w:rsidR="00196B88" w:rsidRDefault="00196B88">
      <w:r>
        <w:separator/>
      </w:r>
    </w:p>
  </w:footnote>
  <w:footnote w:type="continuationSeparator" w:id="0">
    <w:p w14:paraId="45C2A3F5" w14:textId="77777777" w:rsidR="00196B88" w:rsidRDefault="00196B88">
      <w:r>
        <w:continuationSeparator/>
      </w:r>
    </w:p>
  </w:footnote>
  <w:footnote w:type="continuationNotice" w:id="1">
    <w:p w14:paraId="6ECE2315" w14:textId="77777777" w:rsidR="00196B88" w:rsidRDefault="00196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C0AC9" w14:textId="77777777" w:rsidR="00C652E9" w:rsidRDefault="00C652E9" w:rsidP="003F73E9">
    <w:pPr>
      <w:pStyle w:val="Header"/>
      <w:tabs>
        <w:tab w:val="clear" w:pos="4320"/>
        <w:tab w:val="clear" w:pos="8640"/>
      </w:tabs>
      <w:rPr>
        <w:lang w:eastAsia="ko-KR"/>
      </w:rPr>
    </w:pPr>
  </w:p>
  <w:p w14:paraId="7326932D" w14:textId="77777777" w:rsidR="00C652E9" w:rsidRDefault="00C652E9" w:rsidP="003F73E9">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D8F34" w14:textId="77777777" w:rsidR="00C652E9" w:rsidRDefault="00C652E9" w:rsidP="003F73E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E6AB5"/>
    <w:multiLevelType w:val="multilevel"/>
    <w:tmpl w:val="E35C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3D83"/>
    <w:multiLevelType w:val="hybridMultilevel"/>
    <w:tmpl w:val="FBF8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8537E"/>
    <w:multiLevelType w:val="hybridMultilevel"/>
    <w:tmpl w:val="A3D6F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D2C6C"/>
    <w:multiLevelType w:val="hybridMultilevel"/>
    <w:tmpl w:val="CF7C6006"/>
    <w:lvl w:ilvl="0" w:tplc="5846D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9DB0C7E"/>
    <w:multiLevelType w:val="hybridMultilevel"/>
    <w:tmpl w:val="93302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8D2DA"/>
    <w:multiLevelType w:val="hybridMultilevel"/>
    <w:tmpl w:val="944235B0"/>
    <w:lvl w:ilvl="0" w:tplc="30827102">
      <w:start w:val="1"/>
      <w:numFmt w:val="decimal"/>
      <w:lvlText w:val="%1)"/>
      <w:lvlJc w:val="left"/>
      <w:pPr>
        <w:ind w:left="720" w:hanging="360"/>
      </w:pPr>
    </w:lvl>
    <w:lvl w:ilvl="1" w:tplc="E3FAAD84">
      <w:start w:val="1"/>
      <w:numFmt w:val="lowerLetter"/>
      <w:lvlText w:val="%2."/>
      <w:lvlJc w:val="left"/>
      <w:pPr>
        <w:ind w:left="1440" w:hanging="360"/>
      </w:pPr>
    </w:lvl>
    <w:lvl w:ilvl="2" w:tplc="1FB4BF26">
      <w:start w:val="1"/>
      <w:numFmt w:val="lowerRoman"/>
      <w:lvlText w:val="%3."/>
      <w:lvlJc w:val="right"/>
      <w:pPr>
        <w:ind w:left="2160" w:hanging="180"/>
      </w:pPr>
    </w:lvl>
    <w:lvl w:ilvl="3" w:tplc="C6404160">
      <w:start w:val="1"/>
      <w:numFmt w:val="decimal"/>
      <w:lvlText w:val="%4."/>
      <w:lvlJc w:val="left"/>
      <w:pPr>
        <w:ind w:left="2880" w:hanging="360"/>
      </w:pPr>
    </w:lvl>
    <w:lvl w:ilvl="4" w:tplc="891EE6C4">
      <w:start w:val="1"/>
      <w:numFmt w:val="lowerLetter"/>
      <w:lvlText w:val="%5."/>
      <w:lvlJc w:val="left"/>
      <w:pPr>
        <w:ind w:left="3600" w:hanging="360"/>
      </w:pPr>
    </w:lvl>
    <w:lvl w:ilvl="5" w:tplc="8CB449A2">
      <w:start w:val="1"/>
      <w:numFmt w:val="lowerRoman"/>
      <w:lvlText w:val="%6."/>
      <w:lvlJc w:val="right"/>
      <w:pPr>
        <w:ind w:left="4320" w:hanging="180"/>
      </w:pPr>
    </w:lvl>
    <w:lvl w:ilvl="6" w:tplc="40464B4E">
      <w:start w:val="1"/>
      <w:numFmt w:val="decimal"/>
      <w:lvlText w:val="%7."/>
      <w:lvlJc w:val="left"/>
      <w:pPr>
        <w:ind w:left="5040" w:hanging="360"/>
      </w:pPr>
    </w:lvl>
    <w:lvl w:ilvl="7" w:tplc="4BB243E4">
      <w:start w:val="1"/>
      <w:numFmt w:val="lowerLetter"/>
      <w:lvlText w:val="%8."/>
      <w:lvlJc w:val="left"/>
      <w:pPr>
        <w:ind w:left="5760" w:hanging="360"/>
      </w:pPr>
    </w:lvl>
    <w:lvl w:ilvl="8" w:tplc="DFE628CE">
      <w:start w:val="1"/>
      <w:numFmt w:val="lowerRoman"/>
      <w:lvlText w:val="%9."/>
      <w:lvlJc w:val="right"/>
      <w:pPr>
        <w:ind w:left="6480" w:hanging="180"/>
      </w:pPr>
    </w:lvl>
  </w:abstractNum>
  <w:abstractNum w:abstractNumId="6" w15:restartNumberingAfterBreak="0">
    <w:nsid w:val="210E6142"/>
    <w:multiLevelType w:val="hybridMultilevel"/>
    <w:tmpl w:val="DED0744C"/>
    <w:lvl w:ilvl="0" w:tplc="2A6C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12B9"/>
    <w:multiLevelType w:val="hybridMultilevel"/>
    <w:tmpl w:val="EF80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C4D42"/>
    <w:multiLevelType w:val="hybridMultilevel"/>
    <w:tmpl w:val="B73E7D3A"/>
    <w:lvl w:ilvl="0" w:tplc="7826D0A0">
      <w:start w:val="1"/>
      <w:numFmt w:val="decimal"/>
      <w:lvlText w:val="%1)"/>
      <w:lvlJc w:val="left"/>
      <w:pPr>
        <w:ind w:left="720" w:hanging="360"/>
      </w:pPr>
    </w:lvl>
    <w:lvl w:ilvl="1" w:tplc="03A8B2B2">
      <w:start w:val="1"/>
      <w:numFmt w:val="lowerLetter"/>
      <w:lvlText w:val="%2."/>
      <w:lvlJc w:val="left"/>
      <w:pPr>
        <w:ind w:left="1440" w:hanging="360"/>
      </w:pPr>
    </w:lvl>
    <w:lvl w:ilvl="2" w:tplc="DB62C26E">
      <w:start w:val="1"/>
      <w:numFmt w:val="lowerRoman"/>
      <w:lvlText w:val="%3."/>
      <w:lvlJc w:val="right"/>
      <w:pPr>
        <w:ind w:left="2160" w:hanging="180"/>
      </w:pPr>
    </w:lvl>
    <w:lvl w:ilvl="3" w:tplc="669E474E">
      <w:start w:val="1"/>
      <w:numFmt w:val="decimal"/>
      <w:lvlText w:val="%4."/>
      <w:lvlJc w:val="left"/>
      <w:pPr>
        <w:ind w:left="2880" w:hanging="360"/>
      </w:pPr>
    </w:lvl>
    <w:lvl w:ilvl="4" w:tplc="DF48912C">
      <w:start w:val="1"/>
      <w:numFmt w:val="lowerLetter"/>
      <w:lvlText w:val="%5."/>
      <w:lvlJc w:val="left"/>
      <w:pPr>
        <w:ind w:left="3600" w:hanging="360"/>
      </w:pPr>
    </w:lvl>
    <w:lvl w:ilvl="5" w:tplc="DD441572">
      <w:start w:val="1"/>
      <w:numFmt w:val="lowerRoman"/>
      <w:lvlText w:val="%6."/>
      <w:lvlJc w:val="right"/>
      <w:pPr>
        <w:ind w:left="4320" w:hanging="180"/>
      </w:pPr>
    </w:lvl>
    <w:lvl w:ilvl="6" w:tplc="FF2CC6FA">
      <w:start w:val="1"/>
      <w:numFmt w:val="decimal"/>
      <w:lvlText w:val="%7."/>
      <w:lvlJc w:val="left"/>
      <w:pPr>
        <w:ind w:left="5040" w:hanging="360"/>
      </w:pPr>
    </w:lvl>
    <w:lvl w:ilvl="7" w:tplc="E7EE11A6">
      <w:start w:val="1"/>
      <w:numFmt w:val="lowerLetter"/>
      <w:lvlText w:val="%8."/>
      <w:lvlJc w:val="left"/>
      <w:pPr>
        <w:ind w:left="5760" w:hanging="360"/>
      </w:pPr>
    </w:lvl>
    <w:lvl w:ilvl="8" w:tplc="621EA6BA">
      <w:start w:val="1"/>
      <w:numFmt w:val="lowerRoman"/>
      <w:lvlText w:val="%9."/>
      <w:lvlJc w:val="right"/>
      <w:pPr>
        <w:ind w:left="6480" w:hanging="180"/>
      </w:pPr>
    </w:lvl>
  </w:abstractNum>
  <w:abstractNum w:abstractNumId="9" w15:restartNumberingAfterBreak="0">
    <w:nsid w:val="26472E4C"/>
    <w:multiLevelType w:val="hybridMultilevel"/>
    <w:tmpl w:val="B34A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1765"/>
    <w:multiLevelType w:val="hybridMultilevel"/>
    <w:tmpl w:val="79DE9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D3499"/>
    <w:multiLevelType w:val="hybridMultilevel"/>
    <w:tmpl w:val="28127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0766E"/>
    <w:multiLevelType w:val="hybridMultilevel"/>
    <w:tmpl w:val="4D3C6E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E382B"/>
    <w:multiLevelType w:val="hybridMultilevel"/>
    <w:tmpl w:val="12F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D7293"/>
    <w:multiLevelType w:val="hybridMultilevel"/>
    <w:tmpl w:val="CF7C6006"/>
    <w:lvl w:ilvl="0" w:tplc="5846D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D6C7E75"/>
    <w:multiLevelType w:val="hybridMultilevel"/>
    <w:tmpl w:val="661E1D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0B79EB"/>
    <w:multiLevelType w:val="hybridMultilevel"/>
    <w:tmpl w:val="E056D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667E"/>
    <w:multiLevelType w:val="hybridMultilevel"/>
    <w:tmpl w:val="8DBE4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562DB0"/>
    <w:multiLevelType w:val="hybridMultilevel"/>
    <w:tmpl w:val="FB10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73FD3"/>
    <w:multiLevelType w:val="hybridMultilevel"/>
    <w:tmpl w:val="959636AE"/>
    <w:lvl w:ilvl="0" w:tplc="079EA6B4">
      <w:start w:val="1"/>
      <w:numFmt w:val="decimal"/>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EA7788E"/>
    <w:multiLevelType w:val="hybridMultilevel"/>
    <w:tmpl w:val="5CAA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F1C63"/>
    <w:multiLevelType w:val="hybridMultilevel"/>
    <w:tmpl w:val="72AED958"/>
    <w:lvl w:ilvl="0" w:tplc="DF72DD90">
      <w:start w:val="25"/>
      <w:numFmt w:val="bullet"/>
      <w:lvlText w:val="-"/>
      <w:lvlJc w:val="left"/>
      <w:pPr>
        <w:ind w:left="366" w:hanging="360"/>
      </w:pPr>
      <w:rPr>
        <w:rFonts w:ascii="Times New Roman" w:eastAsia="Batang" w:hAnsi="Times New Roman" w:cs="Times New Roman" w:hint="default"/>
      </w:rPr>
    </w:lvl>
    <w:lvl w:ilvl="1" w:tplc="04090003">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3" w15:restartNumberingAfterBreak="0">
    <w:nsid w:val="62CE349E"/>
    <w:multiLevelType w:val="hybridMultilevel"/>
    <w:tmpl w:val="CF7C6006"/>
    <w:lvl w:ilvl="0" w:tplc="5846D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58D11C5"/>
    <w:multiLevelType w:val="hybridMultilevel"/>
    <w:tmpl w:val="BC7A1858"/>
    <w:lvl w:ilvl="0" w:tplc="C3EE286A">
      <w:numFmt w:val="bullet"/>
      <w:lvlText w:val="•"/>
      <w:lvlJc w:val="left"/>
      <w:pPr>
        <w:ind w:left="928" w:hanging="360"/>
      </w:pPr>
      <w:rPr>
        <w:rFonts w:ascii="Book Antiqua" w:eastAsia="BatangChe" w:hAnsi="Book Antiqu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8635978"/>
    <w:multiLevelType w:val="hybridMultilevel"/>
    <w:tmpl w:val="5BE251CC"/>
    <w:lvl w:ilvl="0" w:tplc="A32A0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40585E"/>
    <w:multiLevelType w:val="hybridMultilevel"/>
    <w:tmpl w:val="9CBC7DB2"/>
    <w:lvl w:ilvl="0" w:tplc="5846D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46784"/>
    <w:multiLevelType w:val="hybridMultilevel"/>
    <w:tmpl w:val="CF7C6006"/>
    <w:lvl w:ilvl="0" w:tplc="5846D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D2D32F9"/>
    <w:multiLevelType w:val="hybridMultilevel"/>
    <w:tmpl w:val="69789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81B36"/>
    <w:multiLevelType w:val="hybridMultilevel"/>
    <w:tmpl w:val="1F488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64EEC"/>
    <w:multiLevelType w:val="hybridMultilevel"/>
    <w:tmpl w:val="CF7C6006"/>
    <w:lvl w:ilvl="0" w:tplc="5846D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2C12460"/>
    <w:multiLevelType w:val="hybridMultilevel"/>
    <w:tmpl w:val="43C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1670F"/>
    <w:multiLevelType w:val="hybridMultilevel"/>
    <w:tmpl w:val="EA4C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943E5"/>
    <w:multiLevelType w:val="hybridMultilevel"/>
    <w:tmpl w:val="DFDA2F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CD53A04"/>
    <w:multiLevelType w:val="hybridMultilevel"/>
    <w:tmpl w:val="CF7C6006"/>
    <w:lvl w:ilvl="0" w:tplc="5846D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7D241674"/>
    <w:multiLevelType w:val="hybridMultilevel"/>
    <w:tmpl w:val="2FB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1E59"/>
    <w:multiLevelType w:val="hybridMultilevel"/>
    <w:tmpl w:val="0D18C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15A7"/>
    <w:multiLevelType w:val="hybridMultilevel"/>
    <w:tmpl w:val="5F5CAF0C"/>
    <w:lvl w:ilvl="0" w:tplc="1C9618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561895">
    <w:abstractNumId w:val="5"/>
  </w:num>
  <w:num w:numId="2" w16cid:durableId="1558122105">
    <w:abstractNumId w:val="8"/>
  </w:num>
  <w:num w:numId="3" w16cid:durableId="693842979">
    <w:abstractNumId w:val="35"/>
  </w:num>
  <w:num w:numId="4" w16cid:durableId="1286235747">
    <w:abstractNumId w:val="22"/>
  </w:num>
  <w:num w:numId="5" w16cid:durableId="99642662">
    <w:abstractNumId w:val="7"/>
  </w:num>
  <w:num w:numId="6" w16cid:durableId="1045522473">
    <w:abstractNumId w:val="37"/>
  </w:num>
  <w:num w:numId="7" w16cid:durableId="542641061">
    <w:abstractNumId w:val="31"/>
  </w:num>
  <w:num w:numId="8" w16cid:durableId="148912602">
    <w:abstractNumId w:val="20"/>
  </w:num>
  <w:num w:numId="9" w16cid:durableId="1239826829">
    <w:abstractNumId w:val="16"/>
  </w:num>
  <w:num w:numId="10" w16cid:durableId="1026251764">
    <w:abstractNumId w:val="11"/>
  </w:num>
  <w:num w:numId="11" w16cid:durableId="1947999915">
    <w:abstractNumId w:val="6"/>
  </w:num>
  <w:num w:numId="12" w16cid:durableId="582105127">
    <w:abstractNumId w:val="15"/>
  </w:num>
  <w:num w:numId="13" w16cid:durableId="1286233749">
    <w:abstractNumId w:val="3"/>
  </w:num>
  <w:num w:numId="14" w16cid:durableId="1584532219">
    <w:abstractNumId w:val="30"/>
  </w:num>
  <w:num w:numId="15" w16cid:durableId="971057120">
    <w:abstractNumId w:val="27"/>
  </w:num>
  <w:num w:numId="16" w16cid:durableId="810635788">
    <w:abstractNumId w:val="34"/>
  </w:num>
  <w:num w:numId="17" w16cid:durableId="1014261276">
    <w:abstractNumId w:val="23"/>
  </w:num>
  <w:num w:numId="18" w16cid:durableId="1771243635">
    <w:abstractNumId w:val="33"/>
  </w:num>
  <w:num w:numId="19" w16cid:durableId="686367743">
    <w:abstractNumId w:val="10"/>
  </w:num>
  <w:num w:numId="20" w16cid:durableId="33429268">
    <w:abstractNumId w:val="36"/>
  </w:num>
  <w:num w:numId="21" w16cid:durableId="1507134987">
    <w:abstractNumId w:val="4"/>
  </w:num>
  <w:num w:numId="22" w16cid:durableId="1340934995">
    <w:abstractNumId w:val="21"/>
  </w:num>
  <w:num w:numId="23" w16cid:durableId="962078379">
    <w:abstractNumId w:val="19"/>
  </w:num>
  <w:num w:numId="24" w16cid:durableId="1692414987">
    <w:abstractNumId w:val="32"/>
  </w:num>
  <w:num w:numId="25" w16cid:durableId="845942558">
    <w:abstractNumId w:val="25"/>
  </w:num>
  <w:num w:numId="26" w16cid:durableId="693268859">
    <w:abstractNumId w:val="1"/>
  </w:num>
  <w:num w:numId="27" w16cid:durableId="536359453">
    <w:abstractNumId w:val="9"/>
  </w:num>
  <w:num w:numId="28" w16cid:durableId="984579211">
    <w:abstractNumId w:val="18"/>
  </w:num>
  <w:num w:numId="29" w16cid:durableId="616716238">
    <w:abstractNumId w:val="0"/>
  </w:num>
  <w:num w:numId="30" w16cid:durableId="698362166">
    <w:abstractNumId w:val="14"/>
  </w:num>
  <w:num w:numId="31" w16cid:durableId="1617176342">
    <w:abstractNumId w:val="13"/>
  </w:num>
  <w:num w:numId="32" w16cid:durableId="354354501">
    <w:abstractNumId w:val="26"/>
  </w:num>
  <w:num w:numId="33" w16cid:durableId="1820996150">
    <w:abstractNumId w:val="29"/>
  </w:num>
  <w:num w:numId="34" w16cid:durableId="1466436540">
    <w:abstractNumId w:val="28"/>
  </w:num>
  <w:num w:numId="35" w16cid:durableId="499853464">
    <w:abstractNumId w:val="2"/>
  </w:num>
  <w:num w:numId="36" w16cid:durableId="453526500">
    <w:abstractNumId w:val="17"/>
  </w:num>
  <w:num w:numId="37" w16cid:durableId="1001397100">
    <w:abstractNumId w:val="12"/>
  </w:num>
  <w:num w:numId="38" w16cid:durableId="123130434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49"/>
    <w:rsid w:val="000011E8"/>
    <w:rsid w:val="00002A3A"/>
    <w:rsid w:val="000052E6"/>
    <w:rsid w:val="00006E15"/>
    <w:rsid w:val="000107B1"/>
    <w:rsid w:val="00023EEB"/>
    <w:rsid w:val="00032AC6"/>
    <w:rsid w:val="0003595B"/>
    <w:rsid w:val="0003690D"/>
    <w:rsid w:val="00036964"/>
    <w:rsid w:val="00040ACA"/>
    <w:rsid w:val="00042268"/>
    <w:rsid w:val="00043A0B"/>
    <w:rsid w:val="00043A21"/>
    <w:rsid w:val="00050869"/>
    <w:rsid w:val="00053C8D"/>
    <w:rsid w:val="000542D7"/>
    <w:rsid w:val="00056110"/>
    <w:rsid w:val="00057148"/>
    <w:rsid w:val="0006484D"/>
    <w:rsid w:val="000771E5"/>
    <w:rsid w:val="000931E0"/>
    <w:rsid w:val="0009570B"/>
    <w:rsid w:val="00096CA5"/>
    <w:rsid w:val="000A22B9"/>
    <w:rsid w:val="000A4256"/>
    <w:rsid w:val="000A7EEF"/>
    <w:rsid w:val="000B2318"/>
    <w:rsid w:val="000B6B05"/>
    <w:rsid w:val="000C0765"/>
    <w:rsid w:val="000C0998"/>
    <w:rsid w:val="000C0B63"/>
    <w:rsid w:val="000C1D60"/>
    <w:rsid w:val="000C25F0"/>
    <w:rsid w:val="000C659D"/>
    <w:rsid w:val="000C6843"/>
    <w:rsid w:val="000D0880"/>
    <w:rsid w:val="000D34CE"/>
    <w:rsid w:val="000D3BB3"/>
    <w:rsid w:val="000D5476"/>
    <w:rsid w:val="000D624A"/>
    <w:rsid w:val="000E1421"/>
    <w:rsid w:val="000F0F19"/>
    <w:rsid w:val="000F24EC"/>
    <w:rsid w:val="000F4969"/>
    <w:rsid w:val="000F5540"/>
    <w:rsid w:val="00101180"/>
    <w:rsid w:val="001026FD"/>
    <w:rsid w:val="0010326E"/>
    <w:rsid w:val="00103315"/>
    <w:rsid w:val="00103FDD"/>
    <w:rsid w:val="00104334"/>
    <w:rsid w:val="001103BC"/>
    <w:rsid w:val="001109FB"/>
    <w:rsid w:val="00115955"/>
    <w:rsid w:val="001169BE"/>
    <w:rsid w:val="00116A4C"/>
    <w:rsid w:val="001174F8"/>
    <w:rsid w:val="00121350"/>
    <w:rsid w:val="001219F9"/>
    <w:rsid w:val="00122D9A"/>
    <w:rsid w:val="00124BD0"/>
    <w:rsid w:val="00134EDE"/>
    <w:rsid w:val="00135A2A"/>
    <w:rsid w:val="00136E4C"/>
    <w:rsid w:val="00140814"/>
    <w:rsid w:val="00146023"/>
    <w:rsid w:val="00150E13"/>
    <w:rsid w:val="001520BE"/>
    <w:rsid w:val="00162C16"/>
    <w:rsid w:val="00164A51"/>
    <w:rsid w:val="001730E2"/>
    <w:rsid w:val="0017405A"/>
    <w:rsid w:val="00181230"/>
    <w:rsid w:val="00181B7C"/>
    <w:rsid w:val="00182218"/>
    <w:rsid w:val="001822AF"/>
    <w:rsid w:val="00187B0D"/>
    <w:rsid w:val="001906E7"/>
    <w:rsid w:val="00191D91"/>
    <w:rsid w:val="0019342F"/>
    <w:rsid w:val="0019412E"/>
    <w:rsid w:val="00194CF5"/>
    <w:rsid w:val="00196568"/>
    <w:rsid w:val="00196B88"/>
    <w:rsid w:val="001A5353"/>
    <w:rsid w:val="001A5599"/>
    <w:rsid w:val="001A775C"/>
    <w:rsid w:val="001B02B7"/>
    <w:rsid w:val="001B18C2"/>
    <w:rsid w:val="001B1B44"/>
    <w:rsid w:val="001B3CB0"/>
    <w:rsid w:val="001B5DB1"/>
    <w:rsid w:val="001B642E"/>
    <w:rsid w:val="001B67FA"/>
    <w:rsid w:val="001C5ADC"/>
    <w:rsid w:val="001D2AAF"/>
    <w:rsid w:val="001D48CC"/>
    <w:rsid w:val="001D5D7E"/>
    <w:rsid w:val="001E45CD"/>
    <w:rsid w:val="001E6FE8"/>
    <w:rsid w:val="001F0271"/>
    <w:rsid w:val="001F14D9"/>
    <w:rsid w:val="001F34D5"/>
    <w:rsid w:val="001F68A4"/>
    <w:rsid w:val="00201A7F"/>
    <w:rsid w:val="00203041"/>
    <w:rsid w:val="00203FFD"/>
    <w:rsid w:val="00204EB8"/>
    <w:rsid w:val="002058F5"/>
    <w:rsid w:val="0021512D"/>
    <w:rsid w:val="002330CB"/>
    <w:rsid w:val="00234F34"/>
    <w:rsid w:val="0023715A"/>
    <w:rsid w:val="002375D7"/>
    <w:rsid w:val="0024266D"/>
    <w:rsid w:val="00243C7B"/>
    <w:rsid w:val="00245D80"/>
    <w:rsid w:val="00252489"/>
    <w:rsid w:val="00254A1B"/>
    <w:rsid w:val="00261C3C"/>
    <w:rsid w:val="00262A7B"/>
    <w:rsid w:val="00262EAB"/>
    <w:rsid w:val="002669E2"/>
    <w:rsid w:val="00270C01"/>
    <w:rsid w:val="00272C49"/>
    <w:rsid w:val="002740D5"/>
    <w:rsid w:val="00281077"/>
    <w:rsid w:val="00283B55"/>
    <w:rsid w:val="00284516"/>
    <w:rsid w:val="0028454D"/>
    <w:rsid w:val="00284AFC"/>
    <w:rsid w:val="0028596D"/>
    <w:rsid w:val="002862AD"/>
    <w:rsid w:val="00290461"/>
    <w:rsid w:val="00291228"/>
    <w:rsid w:val="002926D4"/>
    <w:rsid w:val="002A2205"/>
    <w:rsid w:val="002A332A"/>
    <w:rsid w:val="002A3CED"/>
    <w:rsid w:val="002B244C"/>
    <w:rsid w:val="002B427F"/>
    <w:rsid w:val="002B501A"/>
    <w:rsid w:val="002B74FB"/>
    <w:rsid w:val="002C07DA"/>
    <w:rsid w:val="002C15BC"/>
    <w:rsid w:val="002C1D6A"/>
    <w:rsid w:val="002C1DBB"/>
    <w:rsid w:val="002C70ED"/>
    <w:rsid w:val="002C7622"/>
    <w:rsid w:val="002C7EA9"/>
    <w:rsid w:val="002D045B"/>
    <w:rsid w:val="002D515B"/>
    <w:rsid w:val="002D6AA5"/>
    <w:rsid w:val="002D710F"/>
    <w:rsid w:val="002E0724"/>
    <w:rsid w:val="002E283B"/>
    <w:rsid w:val="002F1024"/>
    <w:rsid w:val="002F2C66"/>
    <w:rsid w:val="002F3336"/>
    <w:rsid w:val="002F389F"/>
    <w:rsid w:val="002F736C"/>
    <w:rsid w:val="00302A28"/>
    <w:rsid w:val="00304535"/>
    <w:rsid w:val="0030578B"/>
    <w:rsid w:val="00307567"/>
    <w:rsid w:val="0030775B"/>
    <w:rsid w:val="00314615"/>
    <w:rsid w:val="00315AB2"/>
    <w:rsid w:val="00315E12"/>
    <w:rsid w:val="0031637C"/>
    <w:rsid w:val="00317CC8"/>
    <w:rsid w:val="003217F2"/>
    <w:rsid w:val="003247FB"/>
    <w:rsid w:val="00332B29"/>
    <w:rsid w:val="00335A38"/>
    <w:rsid w:val="00335F9C"/>
    <w:rsid w:val="00342F01"/>
    <w:rsid w:val="00343BDD"/>
    <w:rsid w:val="00345FF1"/>
    <w:rsid w:val="00346E45"/>
    <w:rsid w:val="00350E0A"/>
    <w:rsid w:val="0035135A"/>
    <w:rsid w:val="00355E9F"/>
    <w:rsid w:val="00356667"/>
    <w:rsid w:val="00357E02"/>
    <w:rsid w:val="00360BBE"/>
    <w:rsid w:val="003718ED"/>
    <w:rsid w:val="0037506F"/>
    <w:rsid w:val="0038144E"/>
    <w:rsid w:val="00384779"/>
    <w:rsid w:val="00386A2F"/>
    <w:rsid w:val="0039231D"/>
    <w:rsid w:val="003A232C"/>
    <w:rsid w:val="003A440D"/>
    <w:rsid w:val="003A4FF3"/>
    <w:rsid w:val="003A5D11"/>
    <w:rsid w:val="003A5FDF"/>
    <w:rsid w:val="003B0714"/>
    <w:rsid w:val="003B60F4"/>
    <w:rsid w:val="003B6263"/>
    <w:rsid w:val="003C1CE9"/>
    <w:rsid w:val="003C2751"/>
    <w:rsid w:val="003C64A7"/>
    <w:rsid w:val="003C7A3F"/>
    <w:rsid w:val="003D2A03"/>
    <w:rsid w:val="003D3FDA"/>
    <w:rsid w:val="003D4E0B"/>
    <w:rsid w:val="003D77EE"/>
    <w:rsid w:val="003D78B6"/>
    <w:rsid w:val="003E242F"/>
    <w:rsid w:val="003E4712"/>
    <w:rsid w:val="003F2317"/>
    <w:rsid w:val="003F3BBA"/>
    <w:rsid w:val="003F3EF2"/>
    <w:rsid w:val="003F4F14"/>
    <w:rsid w:val="003F66B2"/>
    <w:rsid w:val="003F683C"/>
    <w:rsid w:val="003F73E9"/>
    <w:rsid w:val="00402617"/>
    <w:rsid w:val="0040272A"/>
    <w:rsid w:val="00411C8E"/>
    <w:rsid w:val="0041744E"/>
    <w:rsid w:val="00420822"/>
    <w:rsid w:val="004221F4"/>
    <w:rsid w:val="00430B57"/>
    <w:rsid w:val="00433801"/>
    <w:rsid w:val="00436CF1"/>
    <w:rsid w:val="004375BC"/>
    <w:rsid w:val="004375EC"/>
    <w:rsid w:val="0044088B"/>
    <w:rsid w:val="00441E9B"/>
    <w:rsid w:val="00442528"/>
    <w:rsid w:val="00442829"/>
    <w:rsid w:val="00443583"/>
    <w:rsid w:val="004442B0"/>
    <w:rsid w:val="00452079"/>
    <w:rsid w:val="004535CE"/>
    <w:rsid w:val="004537CB"/>
    <w:rsid w:val="0045458F"/>
    <w:rsid w:val="00454CF7"/>
    <w:rsid w:val="00454FBB"/>
    <w:rsid w:val="00455FE4"/>
    <w:rsid w:val="00471FE1"/>
    <w:rsid w:val="00476184"/>
    <w:rsid w:val="0047621E"/>
    <w:rsid w:val="004815C0"/>
    <w:rsid w:val="00482C15"/>
    <w:rsid w:val="00484D5A"/>
    <w:rsid w:val="00486F61"/>
    <w:rsid w:val="0049442B"/>
    <w:rsid w:val="00496CAF"/>
    <w:rsid w:val="004A1A62"/>
    <w:rsid w:val="004A6216"/>
    <w:rsid w:val="004A7141"/>
    <w:rsid w:val="004B087F"/>
    <w:rsid w:val="004B23F1"/>
    <w:rsid w:val="004B3F16"/>
    <w:rsid w:val="004B5DBF"/>
    <w:rsid w:val="004B7BB6"/>
    <w:rsid w:val="004C08FE"/>
    <w:rsid w:val="004D1096"/>
    <w:rsid w:val="004D614F"/>
    <w:rsid w:val="004E0B41"/>
    <w:rsid w:val="004E3A17"/>
    <w:rsid w:val="004F5B55"/>
    <w:rsid w:val="00505FEC"/>
    <w:rsid w:val="0050794E"/>
    <w:rsid w:val="005105BA"/>
    <w:rsid w:val="00510BA7"/>
    <w:rsid w:val="005124EA"/>
    <w:rsid w:val="0051417C"/>
    <w:rsid w:val="0051551A"/>
    <w:rsid w:val="00516003"/>
    <w:rsid w:val="00524EC7"/>
    <w:rsid w:val="0052526C"/>
    <w:rsid w:val="00525E4D"/>
    <w:rsid w:val="005279D7"/>
    <w:rsid w:val="00530E8C"/>
    <w:rsid w:val="00541DD7"/>
    <w:rsid w:val="00544414"/>
    <w:rsid w:val="00546267"/>
    <w:rsid w:val="00554813"/>
    <w:rsid w:val="0055508F"/>
    <w:rsid w:val="00557BAA"/>
    <w:rsid w:val="0056558B"/>
    <w:rsid w:val="00565808"/>
    <w:rsid w:val="00566120"/>
    <w:rsid w:val="00567187"/>
    <w:rsid w:val="005709E1"/>
    <w:rsid w:val="00572C2D"/>
    <w:rsid w:val="00573AD5"/>
    <w:rsid w:val="005747B9"/>
    <w:rsid w:val="00577CFC"/>
    <w:rsid w:val="00581DFD"/>
    <w:rsid w:val="00582FEB"/>
    <w:rsid w:val="005854D2"/>
    <w:rsid w:val="00587875"/>
    <w:rsid w:val="00592D45"/>
    <w:rsid w:val="00593D1B"/>
    <w:rsid w:val="005952E0"/>
    <w:rsid w:val="00596E55"/>
    <w:rsid w:val="005A09DF"/>
    <w:rsid w:val="005A1226"/>
    <w:rsid w:val="005A7CCC"/>
    <w:rsid w:val="005B2F97"/>
    <w:rsid w:val="005B773A"/>
    <w:rsid w:val="005C39E4"/>
    <w:rsid w:val="005D4726"/>
    <w:rsid w:val="005D5E2A"/>
    <w:rsid w:val="005E0AA8"/>
    <w:rsid w:val="005E3ED1"/>
    <w:rsid w:val="0060014C"/>
    <w:rsid w:val="00601259"/>
    <w:rsid w:val="00601A7D"/>
    <w:rsid w:val="00603A62"/>
    <w:rsid w:val="0060480D"/>
    <w:rsid w:val="00607E2B"/>
    <w:rsid w:val="00610642"/>
    <w:rsid w:val="00614171"/>
    <w:rsid w:val="00614DB1"/>
    <w:rsid w:val="006211F5"/>
    <w:rsid w:val="006220FD"/>
    <w:rsid w:val="00622D89"/>
    <w:rsid w:val="0063062B"/>
    <w:rsid w:val="006320BA"/>
    <w:rsid w:val="00632E06"/>
    <w:rsid w:val="00636703"/>
    <w:rsid w:val="00636A1E"/>
    <w:rsid w:val="006374B9"/>
    <w:rsid w:val="0064020A"/>
    <w:rsid w:val="00640B72"/>
    <w:rsid w:val="00643A53"/>
    <w:rsid w:val="0066098A"/>
    <w:rsid w:val="00667229"/>
    <w:rsid w:val="00673700"/>
    <w:rsid w:val="0067542E"/>
    <w:rsid w:val="006804D5"/>
    <w:rsid w:val="00682BE5"/>
    <w:rsid w:val="0068572B"/>
    <w:rsid w:val="00686869"/>
    <w:rsid w:val="00691D95"/>
    <w:rsid w:val="00696035"/>
    <w:rsid w:val="00697591"/>
    <w:rsid w:val="006A009D"/>
    <w:rsid w:val="006A56A1"/>
    <w:rsid w:val="006A5AE6"/>
    <w:rsid w:val="006B186D"/>
    <w:rsid w:val="006B654D"/>
    <w:rsid w:val="006C731A"/>
    <w:rsid w:val="006D32D3"/>
    <w:rsid w:val="006D3323"/>
    <w:rsid w:val="006D3DE4"/>
    <w:rsid w:val="006D66E2"/>
    <w:rsid w:val="006D6F9C"/>
    <w:rsid w:val="006D7A3A"/>
    <w:rsid w:val="006E2A15"/>
    <w:rsid w:val="006F0539"/>
    <w:rsid w:val="006F08F1"/>
    <w:rsid w:val="006F117D"/>
    <w:rsid w:val="006F1ABF"/>
    <w:rsid w:val="006F748C"/>
    <w:rsid w:val="007013B5"/>
    <w:rsid w:val="00701D44"/>
    <w:rsid w:val="007026B4"/>
    <w:rsid w:val="00705C06"/>
    <w:rsid w:val="00707273"/>
    <w:rsid w:val="007107FF"/>
    <w:rsid w:val="007118AE"/>
    <w:rsid w:val="00717114"/>
    <w:rsid w:val="00724F9D"/>
    <w:rsid w:val="007309DF"/>
    <w:rsid w:val="00735122"/>
    <w:rsid w:val="0074190C"/>
    <w:rsid w:val="0074350A"/>
    <w:rsid w:val="00745843"/>
    <w:rsid w:val="00745898"/>
    <w:rsid w:val="00746A70"/>
    <w:rsid w:val="0074793F"/>
    <w:rsid w:val="00754C57"/>
    <w:rsid w:val="0075601F"/>
    <w:rsid w:val="007607D6"/>
    <w:rsid w:val="0076206D"/>
    <w:rsid w:val="00762576"/>
    <w:rsid w:val="00762C54"/>
    <w:rsid w:val="007654FE"/>
    <w:rsid w:val="007725F1"/>
    <w:rsid w:val="0077508A"/>
    <w:rsid w:val="0077612E"/>
    <w:rsid w:val="00776357"/>
    <w:rsid w:val="00777394"/>
    <w:rsid w:val="00783717"/>
    <w:rsid w:val="00784DE5"/>
    <w:rsid w:val="00786631"/>
    <w:rsid w:val="00786A4D"/>
    <w:rsid w:val="00790F0D"/>
    <w:rsid w:val="007920D2"/>
    <w:rsid w:val="0079228C"/>
    <w:rsid w:val="0079422B"/>
    <w:rsid w:val="007947BD"/>
    <w:rsid w:val="007964E9"/>
    <w:rsid w:val="00796D2B"/>
    <w:rsid w:val="00797939"/>
    <w:rsid w:val="007A3A86"/>
    <w:rsid w:val="007B399B"/>
    <w:rsid w:val="007B4639"/>
    <w:rsid w:val="007C28F6"/>
    <w:rsid w:val="007C397A"/>
    <w:rsid w:val="007D0EF6"/>
    <w:rsid w:val="007D10A1"/>
    <w:rsid w:val="007D2A5A"/>
    <w:rsid w:val="007D35DE"/>
    <w:rsid w:val="007E2625"/>
    <w:rsid w:val="007E69C9"/>
    <w:rsid w:val="007F1626"/>
    <w:rsid w:val="007F2417"/>
    <w:rsid w:val="007F54FE"/>
    <w:rsid w:val="00803710"/>
    <w:rsid w:val="00804EB3"/>
    <w:rsid w:val="008053A9"/>
    <w:rsid w:val="008056FB"/>
    <w:rsid w:val="0080570B"/>
    <w:rsid w:val="008057FE"/>
    <w:rsid w:val="0080787F"/>
    <w:rsid w:val="008148E1"/>
    <w:rsid w:val="00814BEA"/>
    <w:rsid w:val="008152A4"/>
    <w:rsid w:val="00817634"/>
    <w:rsid w:val="008201B9"/>
    <w:rsid w:val="00823D5A"/>
    <w:rsid w:val="00824057"/>
    <w:rsid w:val="00824B3F"/>
    <w:rsid w:val="00825740"/>
    <w:rsid w:val="00834059"/>
    <w:rsid w:val="008351CB"/>
    <w:rsid w:val="00835B7C"/>
    <w:rsid w:val="00850C7F"/>
    <w:rsid w:val="008512B0"/>
    <w:rsid w:val="00852AC8"/>
    <w:rsid w:val="00854B60"/>
    <w:rsid w:val="00860576"/>
    <w:rsid w:val="0087223A"/>
    <w:rsid w:val="00872631"/>
    <w:rsid w:val="008735CF"/>
    <w:rsid w:val="0087478E"/>
    <w:rsid w:val="00881DA1"/>
    <w:rsid w:val="0088226A"/>
    <w:rsid w:val="008863D9"/>
    <w:rsid w:val="008903EC"/>
    <w:rsid w:val="00893FF5"/>
    <w:rsid w:val="00895939"/>
    <w:rsid w:val="0089765D"/>
    <w:rsid w:val="008A4A3F"/>
    <w:rsid w:val="008A7A4F"/>
    <w:rsid w:val="008A7D86"/>
    <w:rsid w:val="008B0897"/>
    <w:rsid w:val="008B2B81"/>
    <w:rsid w:val="008B4D93"/>
    <w:rsid w:val="008C1552"/>
    <w:rsid w:val="008D0A54"/>
    <w:rsid w:val="008D0E09"/>
    <w:rsid w:val="008D3D5D"/>
    <w:rsid w:val="008D6CB5"/>
    <w:rsid w:val="008D7D73"/>
    <w:rsid w:val="008E4962"/>
    <w:rsid w:val="008E4ADE"/>
    <w:rsid w:val="008E4BBC"/>
    <w:rsid w:val="008E7A4B"/>
    <w:rsid w:val="008F1152"/>
    <w:rsid w:val="008F180E"/>
    <w:rsid w:val="008F7383"/>
    <w:rsid w:val="00901BF3"/>
    <w:rsid w:val="00902D29"/>
    <w:rsid w:val="00905483"/>
    <w:rsid w:val="00906387"/>
    <w:rsid w:val="009073D2"/>
    <w:rsid w:val="009104B8"/>
    <w:rsid w:val="00912D70"/>
    <w:rsid w:val="0091579D"/>
    <w:rsid w:val="009171EA"/>
    <w:rsid w:val="00921989"/>
    <w:rsid w:val="00922417"/>
    <w:rsid w:val="009239E0"/>
    <w:rsid w:val="009311B1"/>
    <w:rsid w:val="00933527"/>
    <w:rsid w:val="00936C93"/>
    <w:rsid w:val="009411BD"/>
    <w:rsid w:val="00943753"/>
    <w:rsid w:val="00946B45"/>
    <w:rsid w:val="00957A88"/>
    <w:rsid w:val="009614EC"/>
    <w:rsid w:val="0096298D"/>
    <w:rsid w:val="009644AE"/>
    <w:rsid w:val="0096711D"/>
    <w:rsid w:val="00967A79"/>
    <w:rsid w:val="00967C4A"/>
    <w:rsid w:val="0097079C"/>
    <w:rsid w:val="00971EAB"/>
    <w:rsid w:val="00972ADF"/>
    <w:rsid w:val="0097693B"/>
    <w:rsid w:val="009850C4"/>
    <w:rsid w:val="009852A3"/>
    <w:rsid w:val="00985F00"/>
    <w:rsid w:val="009945A6"/>
    <w:rsid w:val="00994930"/>
    <w:rsid w:val="009957F0"/>
    <w:rsid w:val="009961A7"/>
    <w:rsid w:val="009A0197"/>
    <w:rsid w:val="009A4595"/>
    <w:rsid w:val="009A4A6D"/>
    <w:rsid w:val="009A4F43"/>
    <w:rsid w:val="009B06B1"/>
    <w:rsid w:val="009B0C64"/>
    <w:rsid w:val="009B0F81"/>
    <w:rsid w:val="009B7425"/>
    <w:rsid w:val="009C397D"/>
    <w:rsid w:val="009C51B7"/>
    <w:rsid w:val="009D243D"/>
    <w:rsid w:val="009D2742"/>
    <w:rsid w:val="009D62BE"/>
    <w:rsid w:val="009E0241"/>
    <w:rsid w:val="009E1E5B"/>
    <w:rsid w:val="009E3471"/>
    <w:rsid w:val="009F4019"/>
    <w:rsid w:val="009F4704"/>
    <w:rsid w:val="009F7CCF"/>
    <w:rsid w:val="00A006C9"/>
    <w:rsid w:val="00A01F69"/>
    <w:rsid w:val="00A02441"/>
    <w:rsid w:val="00A03593"/>
    <w:rsid w:val="00A048AA"/>
    <w:rsid w:val="00A136D9"/>
    <w:rsid w:val="00A159FD"/>
    <w:rsid w:val="00A16A10"/>
    <w:rsid w:val="00A2144A"/>
    <w:rsid w:val="00A214B1"/>
    <w:rsid w:val="00A219BC"/>
    <w:rsid w:val="00A221B7"/>
    <w:rsid w:val="00A256D7"/>
    <w:rsid w:val="00A26A21"/>
    <w:rsid w:val="00A30193"/>
    <w:rsid w:val="00A3260F"/>
    <w:rsid w:val="00A33E7A"/>
    <w:rsid w:val="00A438A8"/>
    <w:rsid w:val="00A44893"/>
    <w:rsid w:val="00A44B37"/>
    <w:rsid w:val="00A47FA3"/>
    <w:rsid w:val="00A5067D"/>
    <w:rsid w:val="00A53FE2"/>
    <w:rsid w:val="00A548EF"/>
    <w:rsid w:val="00A60FDC"/>
    <w:rsid w:val="00A625AC"/>
    <w:rsid w:val="00A62BCD"/>
    <w:rsid w:val="00A62FF5"/>
    <w:rsid w:val="00A64E78"/>
    <w:rsid w:val="00A64FBB"/>
    <w:rsid w:val="00A652A0"/>
    <w:rsid w:val="00A70214"/>
    <w:rsid w:val="00A70B87"/>
    <w:rsid w:val="00A73CD8"/>
    <w:rsid w:val="00A75041"/>
    <w:rsid w:val="00A75167"/>
    <w:rsid w:val="00A75AE7"/>
    <w:rsid w:val="00A8097E"/>
    <w:rsid w:val="00A81D09"/>
    <w:rsid w:val="00A82537"/>
    <w:rsid w:val="00A83293"/>
    <w:rsid w:val="00A8590C"/>
    <w:rsid w:val="00A8675B"/>
    <w:rsid w:val="00A90516"/>
    <w:rsid w:val="00A91169"/>
    <w:rsid w:val="00A913DD"/>
    <w:rsid w:val="00A92664"/>
    <w:rsid w:val="00A9734F"/>
    <w:rsid w:val="00AA0EC2"/>
    <w:rsid w:val="00AA474C"/>
    <w:rsid w:val="00AA4ADF"/>
    <w:rsid w:val="00AA5B65"/>
    <w:rsid w:val="00AB0249"/>
    <w:rsid w:val="00AB750A"/>
    <w:rsid w:val="00AC0781"/>
    <w:rsid w:val="00AC0F67"/>
    <w:rsid w:val="00AD29C8"/>
    <w:rsid w:val="00AD3F1E"/>
    <w:rsid w:val="00AD5347"/>
    <w:rsid w:val="00AD548D"/>
    <w:rsid w:val="00AD578A"/>
    <w:rsid w:val="00AD7045"/>
    <w:rsid w:val="00AD7DE8"/>
    <w:rsid w:val="00AD7E5F"/>
    <w:rsid w:val="00AE018C"/>
    <w:rsid w:val="00AE2919"/>
    <w:rsid w:val="00AE693D"/>
    <w:rsid w:val="00AF11DE"/>
    <w:rsid w:val="00AF184F"/>
    <w:rsid w:val="00AF4DF3"/>
    <w:rsid w:val="00AF6FE6"/>
    <w:rsid w:val="00AF72E8"/>
    <w:rsid w:val="00AF794D"/>
    <w:rsid w:val="00B01050"/>
    <w:rsid w:val="00B012D4"/>
    <w:rsid w:val="00B01327"/>
    <w:rsid w:val="00B05DF2"/>
    <w:rsid w:val="00B12404"/>
    <w:rsid w:val="00B149CB"/>
    <w:rsid w:val="00B16D0C"/>
    <w:rsid w:val="00B25D6A"/>
    <w:rsid w:val="00B2645E"/>
    <w:rsid w:val="00B30136"/>
    <w:rsid w:val="00B30C81"/>
    <w:rsid w:val="00B40329"/>
    <w:rsid w:val="00B420DF"/>
    <w:rsid w:val="00B432DB"/>
    <w:rsid w:val="00B456D1"/>
    <w:rsid w:val="00B51B8F"/>
    <w:rsid w:val="00B51E48"/>
    <w:rsid w:val="00B52438"/>
    <w:rsid w:val="00B52FAF"/>
    <w:rsid w:val="00B54E5F"/>
    <w:rsid w:val="00B55AC3"/>
    <w:rsid w:val="00B55E02"/>
    <w:rsid w:val="00B562DB"/>
    <w:rsid w:val="00B57823"/>
    <w:rsid w:val="00B6308E"/>
    <w:rsid w:val="00B65BE4"/>
    <w:rsid w:val="00B661D6"/>
    <w:rsid w:val="00B71DE0"/>
    <w:rsid w:val="00B73740"/>
    <w:rsid w:val="00B751C9"/>
    <w:rsid w:val="00B753D4"/>
    <w:rsid w:val="00B85C99"/>
    <w:rsid w:val="00BA3F07"/>
    <w:rsid w:val="00BA4DCB"/>
    <w:rsid w:val="00BA5169"/>
    <w:rsid w:val="00BA7338"/>
    <w:rsid w:val="00BA767E"/>
    <w:rsid w:val="00BA79FF"/>
    <w:rsid w:val="00BB0AEB"/>
    <w:rsid w:val="00BB2506"/>
    <w:rsid w:val="00BB285C"/>
    <w:rsid w:val="00BB4DD3"/>
    <w:rsid w:val="00BB7AE4"/>
    <w:rsid w:val="00BC3741"/>
    <w:rsid w:val="00BC497C"/>
    <w:rsid w:val="00BD6736"/>
    <w:rsid w:val="00BE2163"/>
    <w:rsid w:val="00BE2660"/>
    <w:rsid w:val="00BE2FB0"/>
    <w:rsid w:val="00BE759A"/>
    <w:rsid w:val="00BF663E"/>
    <w:rsid w:val="00C0036E"/>
    <w:rsid w:val="00C0391F"/>
    <w:rsid w:val="00C03A92"/>
    <w:rsid w:val="00C1189B"/>
    <w:rsid w:val="00C124B2"/>
    <w:rsid w:val="00C13B6F"/>
    <w:rsid w:val="00C14316"/>
    <w:rsid w:val="00C15633"/>
    <w:rsid w:val="00C31EA1"/>
    <w:rsid w:val="00C32EE4"/>
    <w:rsid w:val="00C336EE"/>
    <w:rsid w:val="00C34512"/>
    <w:rsid w:val="00C357AD"/>
    <w:rsid w:val="00C369F3"/>
    <w:rsid w:val="00C41B48"/>
    <w:rsid w:val="00C4222C"/>
    <w:rsid w:val="00C429DC"/>
    <w:rsid w:val="00C457F1"/>
    <w:rsid w:val="00C46121"/>
    <w:rsid w:val="00C523B2"/>
    <w:rsid w:val="00C56CBA"/>
    <w:rsid w:val="00C570D8"/>
    <w:rsid w:val="00C652E9"/>
    <w:rsid w:val="00C66C5D"/>
    <w:rsid w:val="00C75027"/>
    <w:rsid w:val="00C7529E"/>
    <w:rsid w:val="00C769F6"/>
    <w:rsid w:val="00C773D5"/>
    <w:rsid w:val="00C77943"/>
    <w:rsid w:val="00C8113E"/>
    <w:rsid w:val="00C82444"/>
    <w:rsid w:val="00C84456"/>
    <w:rsid w:val="00C91EF5"/>
    <w:rsid w:val="00C936D1"/>
    <w:rsid w:val="00C94BBB"/>
    <w:rsid w:val="00C96EEB"/>
    <w:rsid w:val="00CA1381"/>
    <w:rsid w:val="00CB59B2"/>
    <w:rsid w:val="00CB6486"/>
    <w:rsid w:val="00CC25BB"/>
    <w:rsid w:val="00CC335A"/>
    <w:rsid w:val="00CC5D9F"/>
    <w:rsid w:val="00CC62D9"/>
    <w:rsid w:val="00CD3015"/>
    <w:rsid w:val="00CD5431"/>
    <w:rsid w:val="00CD6A36"/>
    <w:rsid w:val="00CD75B4"/>
    <w:rsid w:val="00CE1B58"/>
    <w:rsid w:val="00CE3251"/>
    <w:rsid w:val="00CE3BE6"/>
    <w:rsid w:val="00CE74EB"/>
    <w:rsid w:val="00CF2491"/>
    <w:rsid w:val="00CF24B9"/>
    <w:rsid w:val="00CF2BDA"/>
    <w:rsid w:val="00CF2DFE"/>
    <w:rsid w:val="00CF49DE"/>
    <w:rsid w:val="00CF6AFC"/>
    <w:rsid w:val="00CF6D58"/>
    <w:rsid w:val="00CF7B31"/>
    <w:rsid w:val="00D01F19"/>
    <w:rsid w:val="00D046DB"/>
    <w:rsid w:val="00D04B1A"/>
    <w:rsid w:val="00D13087"/>
    <w:rsid w:val="00D140E5"/>
    <w:rsid w:val="00D150CC"/>
    <w:rsid w:val="00D174A0"/>
    <w:rsid w:val="00D20E5A"/>
    <w:rsid w:val="00D24A53"/>
    <w:rsid w:val="00D26438"/>
    <w:rsid w:val="00D347C9"/>
    <w:rsid w:val="00D368F0"/>
    <w:rsid w:val="00D43BE0"/>
    <w:rsid w:val="00D44987"/>
    <w:rsid w:val="00D46F46"/>
    <w:rsid w:val="00D50902"/>
    <w:rsid w:val="00D543D6"/>
    <w:rsid w:val="00D5458A"/>
    <w:rsid w:val="00D57772"/>
    <w:rsid w:val="00D604F3"/>
    <w:rsid w:val="00D66207"/>
    <w:rsid w:val="00D66F17"/>
    <w:rsid w:val="00D6736D"/>
    <w:rsid w:val="00D72183"/>
    <w:rsid w:val="00D75A4D"/>
    <w:rsid w:val="00D8280E"/>
    <w:rsid w:val="00D839D5"/>
    <w:rsid w:val="00D8478B"/>
    <w:rsid w:val="00D86151"/>
    <w:rsid w:val="00D87512"/>
    <w:rsid w:val="00D901D7"/>
    <w:rsid w:val="00D94450"/>
    <w:rsid w:val="00D97BF6"/>
    <w:rsid w:val="00DA34C9"/>
    <w:rsid w:val="00DA3785"/>
    <w:rsid w:val="00DA3C0A"/>
    <w:rsid w:val="00DA4179"/>
    <w:rsid w:val="00DA4D56"/>
    <w:rsid w:val="00DA7595"/>
    <w:rsid w:val="00DB00F1"/>
    <w:rsid w:val="00DB0A68"/>
    <w:rsid w:val="00DC1D3A"/>
    <w:rsid w:val="00DC3808"/>
    <w:rsid w:val="00DC43A3"/>
    <w:rsid w:val="00DC7A3A"/>
    <w:rsid w:val="00DC7EDF"/>
    <w:rsid w:val="00DD3125"/>
    <w:rsid w:val="00DD6F6F"/>
    <w:rsid w:val="00DD783C"/>
    <w:rsid w:val="00DE12CC"/>
    <w:rsid w:val="00DE3487"/>
    <w:rsid w:val="00DF125D"/>
    <w:rsid w:val="00DF255A"/>
    <w:rsid w:val="00DF66C9"/>
    <w:rsid w:val="00E005F4"/>
    <w:rsid w:val="00E01AF8"/>
    <w:rsid w:val="00E035A1"/>
    <w:rsid w:val="00E05CF3"/>
    <w:rsid w:val="00E07C57"/>
    <w:rsid w:val="00E11CD0"/>
    <w:rsid w:val="00E11EE0"/>
    <w:rsid w:val="00E239E5"/>
    <w:rsid w:val="00E274E9"/>
    <w:rsid w:val="00E40177"/>
    <w:rsid w:val="00E42CFB"/>
    <w:rsid w:val="00E433DA"/>
    <w:rsid w:val="00E45DCC"/>
    <w:rsid w:val="00E46859"/>
    <w:rsid w:val="00E539BA"/>
    <w:rsid w:val="00E55525"/>
    <w:rsid w:val="00E56B2A"/>
    <w:rsid w:val="00E57A3A"/>
    <w:rsid w:val="00E61EC1"/>
    <w:rsid w:val="00E674D3"/>
    <w:rsid w:val="00E70A99"/>
    <w:rsid w:val="00E752B8"/>
    <w:rsid w:val="00E80C90"/>
    <w:rsid w:val="00E81FE9"/>
    <w:rsid w:val="00E84977"/>
    <w:rsid w:val="00E9044E"/>
    <w:rsid w:val="00E905AA"/>
    <w:rsid w:val="00E919D2"/>
    <w:rsid w:val="00E95135"/>
    <w:rsid w:val="00EA0D70"/>
    <w:rsid w:val="00EA199E"/>
    <w:rsid w:val="00EA3766"/>
    <w:rsid w:val="00EA5921"/>
    <w:rsid w:val="00EB0502"/>
    <w:rsid w:val="00EC4F30"/>
    <w:rsid w:val="00EC59E2"/>
    <w:rsid w:val="00EC6891"/>
    <w:rsid w:val="00EE0DEA"/>
    <w:rsid w:val="00EE7DE9"/>
    <w:rsid w:val="00EF1711"/>
    <w:rsid w:val="00EF6A4E"/>
    <w:rsid w:val="00F00F17"/>
    <w:rsid w:val="00F01958"/>
    <w:rsid w:val="00F031A9"/>
    <w:rsid w:val="00F071EF"/>
    <w:rsid w:val="00F10233"/>
    <w:rsid w:val="00F11836"/>
    <w:rsid w:val="00F131BC"/>
    <w:rsid w:val="00F16198"/>
    <w:rsid w:val="00F26F34"/>
    <w:rsid w:val="00F30B5D"/>
    <w:rsid w:val="00F3237E"/>
    <w:rsid w:val="00F36849"/>
    <w:rsid w:val="00F40A5E"/>
    <w:rsid w:val="00F40AB0"/>
    <w:rsid w:val="00F418D0"/>
    <w:rsid w:val="00F45CB2"/>
    <w:rsid w:val="00F5493D"/>
    <w:rsid w:val="00F554E0"/>
    <w:rsid w:val="00F61A9E"/>
    <w:rsid w:val="00F6212A"/>
    <w:rsid w:val="00F65105"/>
    <w:rsid w:val="00F75FA3"/>
    <w:rsid w:val="00F76E49"/>
    <w:rsid w:val="00F814F0"/>
    <w:rsid w:val="00F82919"/>
    <w:rsid w:val="00F84067"/>
    <w:rsid w:val="00F92598"/>
    <w:rsid w:val="00F95677"/>
    <w:rsid w:val="00FA0410"/>
    <w:rsid w:val="00FA26FE"/>
    <w:rsid w:val="00FA522F"/>
    <w:rsid w:val="00FA576D"/>
    <w:rsid w:val="00FA7BEF"/>
    <w:rsid w:val="00FB31BF"/>
    <w:rsid w:val="00FB3A30"/>
    <w:rsid w:val="00FB41D5"/>
    <w:rsid w:val="00FC2CE0"/>
    <w:rsid w:val="00FC3D03"/>
    <w:rsid w:val="00FD1680"/>
    <w:rsid w:val="00FD592E"/>
    <w:rsid w:val="00FD5AC3"/>
    <w:rsid w:val="00FE61B7"/>
    <w:rsid w:val="00FF1C19"/>
    <w:rsid w:val="00FF26CF"/>
    <w:rsid w:val="00FF3A80"/>
    <w:rsid w:val="02B22133"/>
    <w:rsid w:val="03868710"/>
    <w:rsid w:val="04D88AAB"/>
    <w:rsid w:val="05225771"/>
    <w:rsid w:val="09B9EE1B"/>
    <w:rsid w:val="0E422889"/>
    <w:rsid w:val="0FEE16A5"/>
    <w:rsid w:val="11875E24"/>
    <w:rsid w:val="1208C7FF"/>
    <w:rsid w:val="12626167"/>
    <w:rsid w:val="15F44CCD"/>
    <w:rsid w:val="16DC3922"/>
    <w:rsid w:val="1A863C5B"/>
    <w:rsid w:val="1EE83709"/>
    <w:rsid w:val="2081BE39"/>
    <w:rsid w:val="20A4652C"/>
    <w:rsid w:val="2176DE5B"/>
    <w:rsid w:val="235FBE83"/>
    <w:rsid w:val="244B9A74"/>
    <w:rsid w:val="2C3D83FC"/>
    <w:rsid w:val="2E7ACC55"/>
    <w:rsid w:val="35545BA0"/>
    <w:rsid w:val="39C29315"/>
    <w:rsid w:val="3E57B58E"/>
    <w:rsid w:val="4531A73A"/>
    <w:rsid w:val="47DA226C"/>
    <w:rsid w:val="4E586141"/>
    <w:rsid w:val="516EBD44"/>
    <w:rsid w:val="53F12DF6"/>
    <w:rsid w:val="55560862"/>
    <w:rsid w:val="569F05C9"/>
    <w:rsid w:val="56F1D8C3"/>
    <w:rsid w:val="5A7B1DAA"/>
    <w:rsid w:val="5ADBF67C"/>
    <w:rsid w:val="5BE63DFD"/>
    <w:rsid w:val="5E677540"/>
    <w:rsid w:val="600345A1"/>
    <w:rsid w:val="63B8909D"/>
    <w:rsid w:val="67531608"/>
    <w:rsid w:val="7371AB64"/>
    <w:rsid w:val="76582B6B"/>
    <w:rsid w:val="7A275E3F"/>
    <w:rsid w:val="7A33830F"/>
    <w:rsid w:val="7BC32EA0"/>
    <w:rsid w:val="7BE1B3D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02E98"/>
  <w15:docId w15:val="{3CC67C87-0B8A-4692-B5B1-63570B1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AC3"/>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rsid w:val="00C7529E"/>
    <w:rPr>
      <w:color w:val="0000FF"/>
      <w:u w:val="single"/>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E11EE0"/>
    <w:pPr>
      <w:ind w:left="720"/>
    </w:pPr>
  </w:style>
  <w:style w:type="table" w:styleId="TableGrid">
    <w:name w:val="Table Grid"/>
    <w:basedOn w:val="TableNormal"/>
    <w:uiPriority w:val="39"/>
    <w:rsid w:val="00BA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2D89"/>
    <w:rPr>
      <w:rFonts w:ascii="Calibri" w:eastAsia="Calibri" w:hAnsi="Calibri" w:cs="Cordia New"/>
      <w:sz w:val="20"/>
      <w:szCs w:val="20"/>
      <w:lang w:val="en-IN" w:eastAsia="x-none"/>
    </w:rPr>
  </w:style>
  <w:style w:type="character" w:customStyle="1" w:styleId="FootnoteTextChar">
    <w:name w:val="Footnote Text Char"/>
    <w:link w:val="FootnoteText"/>
    <w:uiPriority w:val="99"/>
    <w:rsid w:val="00622D89"/>
    <w:rPr>
      <w:rFonts w:ascii="Calibri" w:eastAsia="Calibri" w:hAnsi="Calibri" w:cs="Cordia New"/>
      <w:lang w:val="en-IN" w:bidi="ar-SA"/>
    </w:rPr>
  </w:style>
  <w:style w:type="paragraph" w:styleId="BodyText">
    <w:name w:val="Body Text"/>
    <w:basedOn w:val="Normal"/>
    <w:link w:val="BodyTextChar"/>
    <w:unhideWhenUsed/>
    <w:rsid w:val="00622D89"/>
    <w:pPr>
      <w:spacing w:line="360" w:lineRule="auto"/>
      <w:jc w:val="both"/>
    </w:pPr>
    <w:rPr>
      <w:rFonts w:ascii="Arial" w:eastAsia="Times New Roman" w:hAnsi="Arial" w:cs="Arial"/>
      <w:lang w:val="x-none" w:eastAsia="x-none"/>
    </w:rPr>
  </w:style>
  <w:style w:type="character" w:customStyle="1" w:styleId="BodyTextChar">
    <w:name w:val="Body Text Char"/>
    <w:link w:val="BodyText"/>
    <w:rsid w:val="00622D89"/>
    <w:rPr>
      <w:rFonts w:ascii="Arial" w:eastAsia="Times New Roman" w:hAnsi="Arial" w:cs="Arial"/>
      <w:sz w:val="24"/>
      <w:szCs w:val="24"/>
      <w:lang w:bidi="ar-SA"/>
    </w:rPr>
  </w:style>
  <w:style w:type="character" w:styleId="FootnoteReference">
    <w:name w:val="footnote reference"/>
    <w:uiPriority w:val="99"/>
    <w:unhideWhenUsed/>
    <w:rsid w:val="00622D89"/>
    <w:rPr>
      <w:vertAlign w:val="superscript"/>
    </w:rPr>
  </w:style>
  <w:style w:type="paragraph" w:customStyle="1" w:styleId="Default">
    <w:name w:val="Default"/>
    <w:rsid w:val="00933527"/>
    <w:pPr>
      <w:autoSpaceDE w:val="0"/>
      <w:autoSpaceDN w:val="0"/>
      <w:adjustRightInd w:val="0"/>
    </w:pPr>
    <w:rPr>
      <w:rFonts w:ascii="Comic Sans MS" w:eastAsiaTheme="minorHAnsi" w:hAnsi="Comic Sans MS" w:cs="Comic Sans MS"/>
      <w:color w:val="000000"/>
      <w:sz w:val="24"/>
      <w:szCs w:val="24"/>
      <w:lang w:bidi="fa-IR"/>
    </w:rPr>
  </w:style>
  <w:style w:type="character" w:customStyle="1" w:styleId="Heading1Char">
    <w:name w:val="Heading 1 Char"/>
    <w:basedOn w:val="DefaultParagraphFont"/>
    <w:link w:val="Heading1"/>
    <w:rsid w:val="00D01F19"/>
    <w:rPr>
      <w:rFonts w:eastAsia="BatangChe"/>
      <w:b/>
      <w:bCs/>
      <w:sz w:val="24"/>
      <w:szCs w:val="24"/>
      <w:u w:val="single"/>
    </w:rPr>
  </w:style>
  <w:style w:type="character" w:customStyle="1" w:styleId="Heading8Char">
    <w:name w:val="Heading 8 Char"/>
    <w:basedOn w:val="DefaultParagraphFont"/>
    <w:link w:val="Heading8"/>
    <w:rsid w:val="00D01F19"/>
    <w:rPr>
      <w:rFonts w:eastAsia="BatangChe"/>
      <w:b/>
      <w:bCs/>
      <w:kern w:val="2"/>
      <w:lang w:eastAsia="ko-KR"/>
    </w:rPr>
  </w:style>
  <w:style w:type="character" w:customStyle="1" w:styleId="shorttext">
    <w:name w:val="short_text"/>
    <w:basedOn w:val="DefaultParagraphFont"/>
    <w:rsid w:val="002375D7"/>
  </w:style>
  <w:style w:type="paragraph" w:styleId="NormalWeb">
    <w:name w:val="Normal (Web)"/>
    <w:basedOn w:val="Normal"/>
    <w:uiPriority w:val="99"/>
    <w:unhideWhenUsed/>
    <w:rsid w:val="00565808"/>
    <w:pPr>
      <w:spacing w:before="100" w:beforeAutospacing="1" w:after="100" w:afterAutospacing="1"/>
    </w:pPr>
    <w:rPr>
      <w:rFonts w:eastAsia="Times New Roman"/>
    </w:rPr>
  </w:style>
  <w:style w:type="character" w:customStyle="1" w:styleId="Title1Char">
    <w:name w:val="Title 1 Char"/>
    <w:link w:val="Title1"/>
    <w:locked/>
    <w:rsid w:val="00544414"/>
    <w:rPr>
      <w:rFonts w:eastAsia="Times New Roman"/>
      <w:b/>
      <w:caps/>
      <w:sz w:val="28"/>
      <w:lang w:val="en-GB"/>
    </w:rPr>
  </w:style>
  <w:style w:type="paragraph" w:customStyle="1" w:styleId="Title1">
    <w:name w:val="Title 1"/>
    <w:basedOn w:val="Normal"/>
    <w:next w:val="Normal"/>
    <w:link w:val="Title1Char"/>
    <w:rsid w:val="00544414"/>
    <w:pPr>
      <w:tabs>
        <w:tab w:val="left" w:pos="567"/>
        <w:tab w:val="left" w:pos="1134"/>
        <w:tab w:val="left" w:pos="1701"/>
        <w:tab w:val="left" w:pos="2268"/>
        <w:tab w:val="left" w:pos="2835"/>
      </w:tabs>
      <w:overflowPunct w:val="0"/>
      <w:autoSpaceDE w:val="0"/>
      <w:autoSpaceDN w:val="0"/>
      <w:adjustRightInd w:val="0"/>
      <w:spacing w:before="240"/>
      <w:jc w:val="center"/>
    </w:pPr>
    <w:rPr>
      <w:rFonts w:eastAsia="Times New Roman"/>
      <w:b/>
      <w:caps/>
      <w:sz w:val="28"/>
      <w:szCs w:val="20"/>
      <w:lang w:val="en-GB"/>
    </w:rPr>
  </w:style>
  <w:style w:type="paragraph" w:styleId="PlainText">
    <w:name w:val="Plain Text"/>
    <w:basedOn w:val="Normal"/>
    <w:link w:val="PlainTextChar"/>
    <w:uiPriority w:val="99"/>
    <w:unhideWhenUsed/>
    <w:rsid w:val="00A30193"/>
    <w:rPr>
      <w:rFonts w:ascii="Arial" w:eastAsiaTheme="minorHAnsi" w:hAnsi="Arial" w:cstheme="minorBidi"/>
      <w:sz w:val="20"/>
      <w:szCs w:val="21"/>
      <w:lang w:val="en-GB"/>
    </w:rPr>
  </w:style>
  <w:style w:type="character" w:customStyle="1" w:styleId="PlainTextChar">
    <w:name w:val="Plain Text Char"/>
    <w:basedOn w:val="DefaultParagraphFont"/>
    <w:link w:val="PlainText"/>
    <w:uiPriority w:val="99"/>
    <w:rsid w:val="00A30193"/>
    <w:rPr>
      <w:rFonts w:ascii="Arial" w:eastAsiaTheme="minorHAnsi" w:hAnsi="Arial" w:cstheme="minorBidi"/>
      <w:szCs w:val="21"/>
      <w:lang w:val="en-GB"/>
    </w:rPr>
  </w:style>
  <w:style w:type="paragraph" w:styleId="BalloonText">
    <w:name w:val="Balloon Text"/>
    <w:basedOn w:val="Normal"/>
    <w:link w:val="BalloonTextChar"/>
    <w:semiHidden/>
    <w:unhideWhenUsed/>
    <w:rsid w:val="003C7A3F"/>
    <w:rPr>
      <w:rFonts w:ascii="Tahoma" w:hAnsi="Tahoma" w:cs="Tahoma"/>
      <w:sz w:val="16"/>
      <w:szCs w:val="16"/>
    </w:rPr>
  </w:style>
  <w:style w:type="character" w:customStyle="1" w:styleId="BalloonTextChar">
    <w:name w:val="Balloon Text Char"/>
    <w:basedOn w:val="DefaultParagraphFont"/>
    <w:link w:val="BalloonText"/>
    <w:semiHidden/>
    <w:rsid w:val="003C7A3F"/>
    <w:rPr>
      <w:rFonts w:ascii="Tahoma" w:eastAsia="BatangChe" w:hAnsi="Tahoma" w:cs="Tahoma"/>
      <w:sz w:val="16"/>
      <w:szCs w:val="16"/>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link w:val="ListParagraph"/>
    <w:uiPriority w:val="34"/>
    <w:qFormat/>
    <w:locked/>
    <w:rsid w:val="00B12404"/>
    <w:rPr>
      <w:rFonts w:eastAsia="BatangChe"/>
      <w:sz w:val="24"/>
      <w:szCs w:val="24"/>
    </w:rPr>
  </w:style>
  <w:style w:type="paragraph" w:customStyle="1" w:styleId="Equationlegend">
    <w:name w:val="Equation_legend"/>
    <w:basedOn w:val="NormalIndent"/>
    <w:rsid w:val="00745843"/>
    <w:pPr>
      <w:widowControl/>
      <w:tabs>
        <w:tab w:val="right" w:pos="1701"/>
        <w:tab w:val="left" w:pos="1985"/>
      </w:tabs>
      <w:wordWrap/>
      <w:overflowPunct w:val="0"/>
      <w:autoSpaceDE w:val="0"/>
      <w:autoSpaceDN w:val="0"/>
      <w:adjustRightInd w:val="0"/>
      <w:spacing w:before="80"/>
      <w:ind w:left="1985" w:hanging="1985"/>
      <w:textAlignment w:val="baseline"/>
    </w:pPr>
    <w:rPr>
      <w:rFonts w:eastAsia="Times New Roman"/>
      <w:kern w:val="0"/>
      <w:sz w:val="24"/>
      <w:lang w:eastAsia="en-US"/>
    </w:rPr>
  </w:style>
  <w:style w:type="character" w:styleId="UnresolvedMention">
    <w:name w:val="Unresolved Mention"/>
    <w:basedOn w:val="DefaultParagraphFont"/>
    <w:uiPriority w:val="99"/>
    <w:semiHidden/>
    <w:unhideWhenUsed/>
    <w:rsid w:val="009B7425"/>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BatangChe"/>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777">
      <w:bodyDiv w:val="1"/>
      <w:marLeft w:val="0"/>
      <w:marRight w:val="0"/>
      <w:marTop w:val="0"/>
      <w:marBottom w:val="0"/>
      <w:divBdr>
        <w:top w:val="none" w:sz="0" w:space="0" w:color="auto"/>
        <w:left w:val="none" w:sz="0" w:space="0" w:color="auto"/>
        <w:bottom w:val="none" w:sz="0" w:space="0" w:color="auto"/>
        <w:right w:val="none" w:sz="0" w:space="0" w:color="auto"/>
      </w:divBdr>
    </w:div>
    <w:div w:id="83646633">
      <w:bodyDiv w:val="1"/>
      <w:marLeft w:val="0"/>
      <w:marRight w:val="0"/>
      <w:marTop w:val="0"/>
      <w:marBottom w:val="0"/>
      <w:divBdr>
        <w:top w:val="none" w:sz="0" w:space="0" w:color="auto"/>
        <w:left w:val="none" w:sz="0" w:space="0" w:color="auto"/>
        <w:bottom w:val="none" w:sz="0" w:space="0" w:color="auto"/>
        <w:right w:val="none" w:sz="0" w:space="0" w:color="auto"/>
      </w:divBdr>
    </w:div>
    <w:div w:id="545945106">
      <w:bodyDiv w:val="1"/>
      <w:marLeft w:val="0"/>
      <w:marRight w:val="0"/>
      <w:marTop w:val="0"/>
      <w:marBottom w:val="0"/>
      <w:divBdr>
        <w:top w:val="none" w:sz="0" w:space="0" w:color="auto"/>
        <w:left w:val="none" w:sz="0" w:space="0" w:color="auto"/>
        <w:bottom w:val="none" w:sz="0" w:space="0" w:color="auto"/>
        <w:right w:val="none" w:sz="0" w:space="0" w:color="auto"/>
      </w:divBdr>
    </w:div>
    <w:div w:id="616572158">
      <w:bodyDiv w:val="1"/>
      <w:marLeft w:val="0"/>
      <w:marRight w:val="0"/>
      <w:marTop w:val="0"/>
      <w:marBottom w:val="0"/>
      <w:divBdr>
        <w:top w:val="none" w:sz="0" w:space="0" w:color="auto"/>
        <w:left w:val="none" w:sz="0" w:space="0" w:color="auto"/>
        <w:bottom w:val="none" w:sz="0" w:space="0" w:color="auto"/>
        <w:right w:val="none" w:sz="0" w:space="0" w:color="auto"/>
      </w:divBdr>
    </w:div>
    <w:div w:id="631449355">
      <w:bodyDiv w:val="1"/>
      <w:marLeft w:val="0"/>
      <w:marRight w:val="0"/>
      <w:marTop w:val="0"/>
      <w:marBottom w:val="0"/>
      <w:divBdr>
        <w:top w:val="none" w:sz="0" w:space="0" w:color="auto"/>
        <w:left w:val="none" w:sz="0" w:space="0" w:color="auto"/>
        <w:bottom w:val="none" w:sz="0" w:space="0" w:color="auto"/>
        <w:right w:val="none" w:sz="0" w:space="0" w:color="auto"/>
      </w:divBdr>
    </w:div>
    <w:div w:id="1273591777">
      <w:bodyDiv w:val="1"/>
      <w:marLeft w:val="0"/>
      <w:marRight w:val="0"/>
      <w:marTop w:val="0"/>
      <w:marBottom w:val="0"/>
      <w:divBdr>
        <w:top w:val="none" w:sz="0" w:space="0" w:color="auto"/>
        <w:left w:val="none" w:sz="0" w:space="0" w:color="auto"/>
        <w:bottom w:val="none" w:sz="0" w:space="0" w:color="auto"/>
        <w:right w:val="none" w:sz="0" w:space="0" w:color="auto"/>
      </w:divBdr>
    </w:div>
    <w:div w:id="1381974422">
      <w:bodyDiv w:val="1"/>
      <w:marLeft w:val="0"/>
      <w:marRight w:val="0"/>
      <w:marTop w:val="0"/>
      <w:marBottom w:val="0"/>
      <w:divBdr>
        <w:top w:val="none" w:sz="0" w:space="0" w:color="auto"/>
        <w:left w:val="none" w:sz="0" w:space="0" w:color="auto"/>
        <w:bottom w:val="none" w:sz="0" w:space="0" w:color="auto"/>
        <w:right w:val="none" w:sz="0" w:space="0" w:color="auto"/>
      </w:divBdr>
    </w:div>
    <w:div w:id="1484158708">
      <w:bodyDiv w:val="1"/>
      <w:marLeft w:val="0"/>
      <w:marRight w:val="0"/>
      <w:marTop w:val="0"/>
      <w:marBottom w:val="0"/>
      <w:divBdr>
        <w:top w:val="none" w:sz="0" w:space="0" w:color="auto"/>
        <w:left w:val="none" w:sz="0" w:space="0" w:color="auto"/>
        <w:bottom w:val="none" w:sz="0" w:space="0" w:color="auto"/>
        <w:right w:val="none" w:sz="0" w:space="0" w:color="auto"/>
      </w:divBdr>
    </w:div>
    <w:div w:id="1660966105">
      <w:bodyDiv w:val="1"/>
      <w:marLeft w:val="0"/>
      <w:marRight w:val="0"/>
      <w:marTop w:val="0"/>
      <w:marBottom w:val="0"/>
      <w:divBdr>
        <w:top w:val="none" w:sz="0" w:space="0" w:color="auto"/>
        <w:left w:val="none" w:sz="0" w:space="0" w:color="auto"/>
        <w:bottom w:val="none" w:sz="0" w:space="0" w:color="auto"/>
        <w:right w:val="none" w:sz="0" w:space="0" w:color="auto"/>
      </w:divBdr>
    </w:div>
    <w:div w:id="1906180530">
      <w:bodyDiv w:val="1"/>
      <w:marLeft w:val="0"/>
      <w:marRight w:val="0"/>
      <w:marTop w:val="0"/>
      <w:marBottom w:val="0"/>
      <w:divBdr>
        <w:top w:val="none" w:sz="0" w:space="0" w:color="auto"/>
        <w:left w:val="none" w:sz="0" w:space="0" w:color="auto"/>
        <w:bottom w:val="none" w:sz="0" w:space="0" w:color="auto"/>
        <w:right w:val="none" w:sz="0" w:space="0" w:color="auto"/>
      </w:divBdr>
    </w:div>
    <w:div w:id="2005468434">
      <w:bodyDiv w:val="1"/>
      <w:marLeft w:val="0"/>
      <w:marRight w:val="0"/>
      <w:marTop w:val="0"/>
      <w:marBottom w:val="0"/>
      <w:divBdr>
        <w:top w:val="none" w:sz="0" w:space="0" w:color="auto"/>
        <w:left w:val="none" w:sz="0" w:space="0" w:color="auto"/>
        <w:bottom w:val="none" w:sz="0" w:space="0" w:color="auto"/>
        <w:right w:val="none" w:sz="0" w:space="0" w:color="auto"/>
      </w:divBdr>
    </w:div>
    <w:div w:id="20201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2303-95F7-4344-BA7D-50FFD35D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144</TotalTime>
  <Pages>12</Pages>
  <Words>3461</Words>
  <Characters>20587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Nidup Gyeltshen</cp:lastModifiedBy>
  <cp:revision>135</cp:revision>
  <cp:lastPrinted>2018-12-06T04:18:00Z</cp:lastPrinted>
  <dcterms:created xsi:type="dcterms:W3CDTF">2023-10-12T06:08:00Z</dcterms:created>
  <dcterms:modified xsi:type="dcterms:W3CDTF">2024-05-19T07:49:00Z</dcterms:modified>
</cp:coreProperties>
</file>