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Borders>
          <w:bottom w:val="single" w:sz="4" w:space="0" w:color="auto"/>
        </w:tblBorders>
        <w:tblLayout w:type="fixed"/>
        <w:tblCellMar>
          <w:left w:w="58" w:type="dxa"/>
          <w:right w:w="58" w:type="dxa"/>
        </w:tblCellMar>
        <w:tblLook w:val="04A0" w:firstRow="1" w:lastRow="0" w:firstColumn="1" w:lastColumn="0" w:noHBand="0" w:noVBand="1"/>
      </w:tblPr>
      <w:tblGrid>
        <w:gridCol w:w="1399"/>
        <w:gridCol w:w="5760"/>
        <w:gridCol w:w="2160"/>
      </w:tblGrid>
      <w:tr w:rsidR="00604817" w14:paraId="09B446DE" w14:textId="77777777" w:rsidTr="00604817">
        <w:trPr>
          <w:cantSplit/>
          <w:trHeight w:val="288"/>
        </w:trPr>
        <w:tc>
          <w:tcPr>
            <w:tcW w:w="1399" w:type="dxa"/>
            <w:vMerge w:val="restart"/>
            <w:tcBorders>
              <w:top w:val="nil"/>
              <w:left w:val="nil"/>
              <w:bottom w:val="single" w:sz="4" w:space="0" w:color="auto"/>
              <w:right w:val="nil"/>
            </w:tcBorders>
            <w:hideMark/>
          </w:tcPr>
          <w:p w14:paraId="682B44FD" w14:textId="68A08D46" w:rsidR="00604817" w:rsidRDefault="00604817">
            <w:pPr>
              <w:pStyle w:val="Note"/>
              <w:widowControl w:val="0"/>
              <w:tabs>
                <w:tab w:val="clear" w:pos="284"/>
                <w:tab w:val="left" w:pos="720"/>
              </w:tabs>
              <w:wordWrap w:val="0"/>
              <w:spacing w:before="0"/>
              <w:rPr>
                <w:noProof w:val="0"/>
                <w:kern w:val="2"/>
                <w:sz w:val="24"/>
                <w:szCs w:val="24"/>
              </w:rPr>
            </w:pPr>
            <w:r>
              <w:rPr>
                <w:kern w:val="2"/>
                <w:sz w:val="24"/>
                <w:szCs w:val="24"/>
                <w:lang w:eastAsia="en-US"/>
              </w:rPr>
              <w:drawing>
                <wp:inline distT="0" distB="0" distL="0" distR="0" wp14:anchorId="7241FA46" wp14:editId="402F10B4">
                  <wp:extent cx="7620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5760" w:type="dxa"/>
            <w:tcBorders>
              <w:top w:val="nil"/>
              <w:left w:val="nil"/>
              <w:bottom w:val="nil"/>
              <w:right w:val="nil"/>
            </w:tcBorders>
            <w:hideMark/>
          </w:tcPr>
          <w:p w14:paraId="5F029DF6" w14:textId="77777777" w:rsidR="00604817" w:rsidRDefault="00604817">
            <w:pPr>
              <w:spacing w:before="40"/>
              <w:rPr>
                <w:sz w:val="22"/>
                <w:szCs w:val="22"/>
              </w:rPr>
            </w:pPr>
            <w:r>
              <w:rPr>
                <w:sz w:val="22"/>
                <w:szCs w:val="22"/>
              </w:rPr>
              <w:t>ASIA-PACIFIC TELECOMMUNITY</w:t>
            </w:r>
          </w:p>
        </w:tc>
        <w:tc>
          <w:tcPr>
            <w:tcW w:w="2160" w:type="dxa"/>
            <w:tcBorders>
              <w:top w:val="nil"/>
              <w:left w:val="nil"/>
              <w:bottom w:val="nil"/>
              <w:right w:val="nil"/>
            </w:tcBorders>
            <w:hideMark/>
          </w:tcPr>
          <w:p w14:paraId="0272D078" w14:textId="77777777" w:rsidR="00604817" w:rsidRDefault="00604817">
            <w:pPr>
              <w:pStyle w:val="Heading8"/>
              <w:spacing w:before="40"/>
              <w:rPr>
                <w:sz w:val="24"/>
                <w:szCs w:val="24"/>
              </w:rPr>
            </w:pPr>
            <w:r>
              <w:rPr>
                <w:sz w:val="24"/>
                <w:szCs w:val="24"/>
              </w:rPr>
              <w:t>Document No:</w:t>
            </w:r>
          </w:p>
        </w:tc>
      </w:tr>
      <w:tr w:rsidR="00604817" w14:paraId="4F456E5A" w14:textId="77777777" w:rsidTr="00604817">
        <w:trPr>
          <w:cantSplit/>
          <w:trHeight w:val="504"/>
        </w:trPr>
        <w:tc>
          <w:tcPr>
            <w:tcW w:w="1399" w:type="dxa"/>
            <w:vMerge/>
            <w:tcBorders>
              <w:top w:val="nil"/>
              <w:left w:val="nil"/>
              <w:bottom w:val="single" w:sz="4" w:space="0" w:color="auto"/>
              <w:right w:val="nil"/>
            </w:tcBorders>
            <w:vAlign w:val="center"/>
            <w:hideMark/>
          </w:tcPr>
          <w:p w14:paraId="640F59C3" w14:textId="77777777" w:rsidR="00604817" w:rsidRDefault="00604817">
            <w:pPr>
              <w:rPr>
                <w:kern w:val="2"/>
                <w:lang w:eastAsia="ko-KR"/>
              </w:rPr>
            </w:pPr>
          </w:p>
        </w:tc>
        <w:tc>
          <w:tcPr>
            <w:tcW w:w="5760" w:type="dxa"/>
            <w:tcBorders>
              <w:top w:val="nil"/>
              <w:left w:val="nil"/>
              <w:bottom w:val="nil"/>
              <w:right w:val="nil"/>
            </w:tcBorders>
            <w:vAlign w:val="center"/>
            <w:hideMark/>
          </w:tcPr>
          <w:p w14:paraId="3BF377A1" w14:textId="4B7B4CB9" w:rsidR="00604817" w:rsidRDefault="00604817">
            <w:pPr>
              <w:rPr>
                <w:b/>
              </w:rPr>
            </w:pPr>
            <w:r>
              <w:rPr>
                <w:b/>
              </w:rPr>
              <w:t xml:space="preserve">The </w:t>
            </w:r>
            <w:r w:rsidR="00E51DF9">
              <w:rPr>
                <w:rFonts w:eastAsiaTheme="minorEastAsia" w:hint="eastAsia"/>
                <w:b/>
                <w:lang w:eastAsia="ja-JP"/>
              </w:rPr>
              <w:t>2</w:t>
            </w:r>
            <w:r w:rsidR="00E51DF9">
              <w:rPr>
                <w:rFonts w:eastAsiaTheme="minorEastAsia"/>
                <w:b/>
                <w:lang w:eastAsia="ja-JP"/>
              </w:rPr>
              <w:t>nd</w:t>
            </w:r>
            <w:r>
              <w:rPr>
                <w:b/>
              </w:rPr>
              <w:t xml:space="preserve"> Meeting of the APT Conference Preparatory</w:t>
            </w:r>
          </w:p>
          <w:p w14:paraId="06413854" w14:textId="6B94004D" w:rsidR="00604817" w:rsidRDefault="00604817">
            <w:pPr>
              <w:spacing w:line="0" w:lineRule="atLeast"/>
            </w:pPr>
            <w:r>
              <w:rPr>
                <w:b/>
              </w:rPr>
              <w:t>Group for WRC-</w:t>
            </w:r>
            <w:r w:rsidR="00E51DF9">
              <w:rPr>
                <w:b/>
              </w:rPr>
              <w:t>23</w:t>
            </w:r>
            <w:r>
              <w:rPr>
                <w:b/>
              </w:rPr>
              <w:t xml:space="preserve"> (APG</w:t>
            </w:r>
            <w:r w:rsidR="00E51DF9">
              <w:rPr>
                <w:b/>
              </w:rPr>
              <w:t>23</w:t>
            </w:r>
            <w:r>
              <w:rPr>
                <w:b/>
              </w:rPr>
              <w:t>-</w:t>
            </w:r>
            <w:r w:rsidR="00E51DF9">
              <w:rPr>
                <w:b/>
              </w:rPr>
              <w:t>2</w:t>
            </w:r>
            <w:r>
              <w:rPr>
                <w:b/>
              </w:rPr>
              <w:t>)</w:t>
            </w:r>
          </w:p>
        </w:tc>
        <w:tc>
          <w:tcPr>
            <w:tcW w:w="2160" w:type="dxa"/>
            <w:tcBorders>
              <w:top w:val="nil"/>
              <w:left w:val="nil"/>
              <w:bottom w:val="nil"/>
              <w:right w:val="nil"/>
            </w:tcBorders>
          </w:tcPr>
          <w:p w14:paraId="0F1AA405" w14:textId="3D570543" w:rsidR="00604817" w:rsidRDefault="00604817">
            <w:pPr>
              <w:spacing w:before="40"/>
              <w:rPr>
                <w:b/>
                <w:bCs/>
                <w:lang w:val="fr-FR"/>
              </w:rPr>
            </w:pPr>
            <w:r>
              <w:rPr>
                <w:b/>
                <w:bCs/>
                <w:lang w:val="fr-FR"/>
              </w:rPr>
              <w:t>APG</w:t>
            </w:r>
            <w:r w:rsidR="00E51DF9">
              <w:rPr>
                <w:b/>
                <w:bCs/>
                <w:lang w:val="fr-FR"/>
              </w:rPr>
              <w:t>23</w:t>
            </w:r>
            <w:r>
              <w:rPr>
                <w:b/>
                <w:bCs/>
                <w:lang w:val="fr-FR"/>
              </w:rPr>
              <w:t>-</w:t>
            </w:r>
            <w:r w:rsidR="00E51DF9">
              <w:rPr>
                <w:b/>
                <w:bCs/>
                <w:lang w:val="fr-FR"/>
              </w:rPr>
              <w:t>2</w:t>
            </w:r>
            <w:r>
              <w:rPr>
                <w:b/>
                <w:bCs/>
                <w:lang w:val="fr-FR"/>
              </w:rPr>
              <w:t>/INF-</w:t>
            </w:r>
            <w:r w:rsidR="00176D41">
              <w:rPr>
                <w:b/>
                <w:bCs/>
                <w:lang w:val="fr-FR"/>
              </w:rPr>
              <w:t>23</w:t>
            </w:r>
          </w:p>
          <w:p w14:paraId="0C12FB75" w14:textId="77777777" w:rsidR="00604817" w:rsidRDefault="00604817">
            <w:pPr>
              <w:rPr>
                <w:b/>
                <w:bCs/>
                <w:lang w:val="en-GB"/>
              </w:rPr>
            </w:pPr>
          </w:p>
        </w:tc>
      </w:tr>
      <w:tr w:rsidR="00604817" w14:paraId="55317E4B" w14:textId="77777777" w:rsidTr="00604817">
        <w:trPr>
          <w:cantSplit/>
          <w:trHeight w:val="288"/>
        </w:trPr>
        <w:tc>
          <w:tcPr>
            <w:tcW w:w="1399" w:type="dxa"/>
            <w:vMerge/>
            <w:tcBorders>
              <w:top w:val="nil"/>
              <w:left w:val="nil"/>
              <w:bottom w:val="single" w:sz="4" w:space="0" w:color="auto"/>
              <w:right w:val="nil"/>
            </w:tcBorders>
            <w:vAlign w:val="center"/>
            <w:hideMark/>
          </w:tcPr>
          <w:p w14:paraId="35A74B09" w14:textId="77777777" w:rsidR="00604817" w:rsidRDefault="00604817">
            <w:pPr>
              <w:rPr>
                <w:kern w:val="2"/>
                <w:lang w:eastAsia="ko-KR"/>
              </w:rPr>
            </w:pPr>
          </w:p>
        </w:tc>
        <w:tc>
          <w:tcPr>
            <w:tcW w:w="5760" w:type="dxa"/>
            <w:tcBorders>
              <w:top w:val="nil"/>
              <w:left w:val="nil"/>
              <w:bottom w:val="single" w:sz="4" w:space="0" w:color="auto"/>
              <w:right w:val="nil"/>
            </w:tcBorders>
            <w:vAlign w:val="bottom"/>
            <w:hideMark/>
          </w:tcPr>
          <w:p w14:paraId="6DF67807" w14:textId="1D9B3996" w:rsidR="00604817" w:rsidRDefault="00604817">
            <w:pPr>
              <w:spacing w:before="40"/>
              <w:rPr>
                <w:b/>
              </w:rPr>
            </w:pPr>
            <w:r>
              <w:t>1</w:t>
            </w:r>
            <w:r w:rsidR="00E51DF9">
              <w:t>9</w:t>
            </w:r>
            <w:r>
              <w:t xml:space="preserve"> – </w:t>
            </w:r>
            <w:r w:rsidR="00E51DF9">
              <w:t>24</w:t>
            </w:r>
            <w:r>
              <w:t xml:space="preserve"> </w:t>
            </w:r>
            <w:r w:rsidR="00E51DF9">
              <w:t>April</w:t>
            </w:r>
            <w:r>
              <w:t xml:space="preserve"> 20</w:t>
            </w:r>
            <w:r w:rsidR="00E51DF9">
              <w:t>2</w:t>
            </w:r>
            <w:r>
              <w:t xml:space="preserve">1, </w:t>
            </w:r>
            <w:r w:rsidR="00E51DF9">
              <w:t>Virtual Meeting</w:t>
            </w:r>
          </w:p>
        </w:tc>
        <w:tc>
          <w:tcPr>
            <w:tcW w:w="2160" w:type="dxa"/>
            <w:tcBorders>
              <w:top w:val="nil"/>
              <w:left w:val="nil"/>
              <w:bottom w:val="single" w:sz="4" w:space="0" w:color="auto"/>
              <w:right w:val="nil"/>
            </w:tcBorders>
            <w:vAlign w:val="bottom"/>
            <w:hideMark/>
          </w:tcPr>
          <w:p w14:paraId="236783A1" w14:textId="2D974E5C" w:rsidR="00604817" w:rsidRDefault="00176D41">
            <w:pPr>
              <w:spacing w:before="40"/>
              <w:rPr>
                <w:bCs/>
              </w:rPr>
            </w:pPr>
            <w:r>
              <w:rPr>
                <w:bCs/>
              </w:rPr>
              <w:t>30</w:t>
            </w:r>
            <w:r w:rsidR="00E51DF9">
              <w:rPr>
                <w:bCs/>
              </w:rPr>
              <w:t xml:space="preserve"> March</w:t>
            </w:r>
            <w:r w:rsidR="00604817">
              <w:rPr>
                <w:bCs/>
              </w:rPr>
              <w:t xml:space="preserve"> 20</w:t>
            </w:r>
            <w:r w:rsidR="00E51DF9">
              <w:rPr>
                <w:bCs/>
              </w:rPr>
              <w:t>2</w:t>
            </w:r>
            <w:r w:rsidR="00604817">
              <w:rPr>
                <w:bCs/>
              </w:rPr>
              <w:t>1</w:t>
            </w:r>
          </w:p>
        </w:tc>
      </w:tr>
    </w:tbl>
    <w:p w14:paraId="71958548" w14:textId="77777777" w:rsidR="00096326" w:rsidRPr="0088765E" w:rsidRDefault="00096326" w:rsidP="00A6749C">
      <w:pPr>
        <w:jc w:val="both"/>
        <w:rPr>
          <w:lang w:eastAsia="ko-KR"/>
        </w:rPr>
      </w:pPr>
    </w:p>
    <w:p w14:paraId="0A6121FC" w14:textId="77777777" w:rsidR="00CD0576" w:rsidRDefault="00CD0576" w:rsidP="00A6749C">
      <w:pPr>
        <w:jc w:val="center"/>
      </w:pPr>
    </w:p>
    <w:p w14:paraId="10271BD0" w14:textId="44195027" w:rsidR="00945760" w:rsidRPr="0088765E" w:rsidRDefault="00945760" w:rsidP="00A6749C">
      <w:pPr>
        <w:jc w:val="center"/>
        <w:rPr>
          <w:rFonts w:eastAsia="MS Mincho"/>
          <w:lang w:eastAsia="ja-JP"/>
        </w:rPr>
      </w:pPr>
      <w:r w:rsidRPr="0088765E">
        <w:t>International Amateur Radio Union (IARU)</w:t>
      </w:r>
    </w:p>
    <w:p w14:paraId="4762A964" w14:textId="77777777" w:rsidR="00FE3DE5" w:rsidRPr="0088765E" w:rsidRDefault="00FE3DE5" w:rsidP="00A6749C">
      <w:pPr>
        <w:jc w:val="both"/>
        <w:rPr>
          <w:b/>
          <w:bCs/>
          <w:caps/>
        </w:rPr>
      </w:pPr>
    </w:p>
    <w:p w14:paraId="252C2180" w14:textId="77777777" w:rsidR="00E51DF9" w:rsidRDefault="00604817" w:rsidP="00A6749C">
      <w:pPr>
        <w:jc w:val="center"/>
        <w:rPr>
          <w:rFonts w:eastAsiaTheme="minorEastAsia"/>
          <w:b/>
          <w:bCs/>
          <w:caps/>
          <w:lang w:eastAsia="ja-JP"/>
        </w:rPr>
      </w:pPr>
      <w:r>
        <w:rPr>
          <w:b/>
          <w:bCs/>
          <w:caps/>
        </w:rPr>
        <w:t xml:space="preserve">IARU </w:t>
      </w:r>
      <w:r w:rsidR="00FE3DE5" w:rsidRPr="0088765E">
        <w:rPr>
          <w:b/>
          <w:bCs/>
          <w:caps/>
        </w:rPr>
        <w:t>views on WRC-</w:t>
      </w:r>
      <w:r w:rsidR="00E51DF9">
        <w:rPr>
          <w:b/>
          <w:bCs/>
          <w:caps/>
        </w:rPr>
        <w:t>23</w:t>
      </w:r>
      <w:r w:rsidR="00D1252E" w:rsidRPr="0088765E">
        <w:rPr>
          <w:b/>
          <w:bCs/>
          <w:caps/>
        </w:rPr>
        <w:t xml:space="preserve"> agenda items </w:t>
      </w:r>
      <w:r w:rsidR="00945760" w:rsidRPr="0088765E">
        <w:rPr>
          <w:rFonts w:eastAsiaTheme="minorEastAsia"/>
          <w:b/>
          <w:bCs/>
          <w:caps/>
          <w:lang w:eastAsia="ja-JP"/>
        </w:rPr>
        <w:t>1.</w:t>
      </w:r>
      <w:r w:rsidR="00E51DF9">
        <w:rPr>
          <w:rFonts w:eastAsiaTheme="minorEastAsia"/>
          <w:b/>
          <w:bCs/>
          <w:caps/>
          <w:lang w:eastAsia="ja-JP"/>
        </w:rPr>
        <w:t>2</w:t>
      </w:r>
      <w:r w:rsidR="00D1252E" w:rsidRPr="0088765E">
        <w:rPr>
          <w:b/>
          <w:bCs/>
          <w:caps/>
        </w:rPr>
        <w:t xml:space="preserve">, </w:t>
      </w:r>
      <w:r w:rsidR="00945760" w:rsidRPr="0088765E">
        <w:rPr>
          <w:rFonts w:eastAsiaTheme="minorEastAsia"/>
          <w:b/>
          <w:bCs/>
          <w:caps/>
          <w:lang w:eastAsia="ja-JP"/>
        </w:rPr>
        <w:t>1.12, 1.1</w:t>
      </w:r>
      <w:r w:rsidR="00E51DF9">
        <w:rPr>
          <w:rFonts w:eastAsiaTheme="minorEastAsia"/>
          <w:b/>
          <w:bCs/>
          <w:caps/>
          <w:lang w:eastAsia="ja-JP"/>
        </w:rPr>
        <w:t>4</w:t>
      </w:r>
      <w:r w:rsidR="00945760" w:rsidRPr="0088765E">
        <w:rPr>
          <w:rFonts w:eastAsiaTheme="minorEastAsia"/>
          <w:b/>
          <w:bCs/>
          <w:caps/>
          <w:lang w:eastAsia="ja-JP"/>
        </w:rPr>
        <w:t>, 1.1</w:t>
      </w:r>
      <w:r w:rsidR="00E51DF9">
        <w:rPr>
          <w:rFonts w:eastAsiaTheme="minorEastAsia"/>
          <w:b/>
          <w:bCs/>
          <w:caps/>
          <w:lang w:eastAsia="ja-JP"/>
        </w:rPr>
        <w:t>8 AND</w:t>
      </w:r>
      <w:r w:rsidR="00945760" w:rsidRPr="0088765E">
        <w:rPr>
          <w:rFonts w:eastAsiaTheme="minorEastAsia"/>
          <w:b/>
          <w:bCs/>
          <w:caps/>
          <w:lang w:eastAsia="ja-JP"/>
        </w:rPr>
        <w:t xml:space="preserve"> </w:t>
      </w:r>
    </w:p>
    <w:p w14:paraId="4A9CBC95" w14:textId="3B627E17" w:rsidR="007E730C" w:rsidRDefault="00E51DF9" w:rsidP="00A6749C">
      <w:pPr>
        <w:jc w:val="center"/>
        <w:rPr>
          <w:rFonts w:eastAsiaTheme="minorEastAsia"/>
          <w:b/>
          <w:bCs/>
          <w:caps/>
          <w:lang w:eastAsia="ja-JP"/>
        </w:rPr>
      </w:pPr>
      <w:r>
        <w:rPr>
          <w:rFonts w:eastAsiaTheme="minorEastAsia"/>
          <w:b/>
          <w:bCs/>
          <w:caps/>
          <w:lang w:eastAsia="ja-JP"/>
        </w:rPr>
        <w:t>9.</w:t>
      </w:r>
      <w:r w:rsidR="00945760" w:rsidRPr="0088765E">
        <w:rPr>
          <w:rFonts w:eastAsiaTheme="minorEastAsia"/>
          <w:b/>
          <w:bCs/>
          <w:caps/>
          <w:lang w:eastAsia="ja-JP"/>
        </w:rPr>
        <w:t>1</w:t>
      </w:r>
      <w:r>
        <w:rPr>
          <w:rFonts w:eastAsiaTheme="minorEastAsia"/>
          <w:b/>
          <w:bCs/>
          <w:caps/>
          <w:lang w:eastAsia="ja-JP"/>
        </w:rPr>
        <w:t xml:space="preserve"> (Topic A and Topic B)</w:t>
      </w:r>
    </w:p>
    <w:p w14:paraId="1334EF82" w14:textId="77777777" w:rsidR="00DB0A68" w:rsidRPr="0088765E" w:rsidRDefault="00DB0A68" w:rsidP="00A6749C">
      <w:pPr>
        <w:jc w:val="both"/>
      </w:pPr>
    </w:p>
    <w:p w14:paraId="70D50539" w14:textId="77777777" w:rsidR="00C357AD" w:rsidRPr="0088765E" w:rsidRDefault="00C357AD" w:rsidP="00A6749C">
      <w:pPr>
        <w:jc w:val="both"/>
        <w:rPr>
          <w:b/>
        </w:rPr>
      </w:pPr>
    </w:p>
    <w:p w14:paraId="373641FC" w14:textId="6022453A" w:rsidR="007342EE" w:rsidRPr="0088765E" w:rsidRDefault="007342EE" w:rsidP="00A6749C">
      <w:pPr>
        <w:jc w:val="both"/>
        <w:rPr>
          <w:rFonts w:eastAsiaTheme="minorEastAsia"/>
          <w:b/>
          <w:lang w:eastAsia="ja-JP"/>
        </w:rPr>
      </w:pPr>
      <w:r w:rsidRPr="0088765E">
        <w:rPr>
          <w:b/>
        </w:rPr>
        <w:t>1. About the IARU</w:t>
      </w:r>
    </w:p>
    <w:p w14:paraId="0635FC72" w14:textId="77777777" w:rsidR="00492AC8" w:rsidRPr="0088765E" w:rsidRDefault="00492AC8" w:rsidP="00A6749C">
      <w:pPr>
        <w:jc w:val="both"/>
        <w:rPr>
          <w:rFonts w:eastAsiaTheme="minorEastAsia"/>
          <w:b/>
          <w:lang w:eastAsia="ja-JP"/>
        </w:rPr>
      </w:pPr>
    </w:p>
    <w:p w14:paraId="660C7D84" w14:textId="3D7E2644" w:rsidR="007342EE" w:rsidRPr="0088765E" w:rsidRDefault="007342EE" w:rsidP="00A6749C">
      <w:pPr>
        <w:jc w:val="both"/>
      </w:pPr>
      <w:r w:rsidRPr="0088765E">
        <w:t>The International Amateur Radio Union (IARU) was founded in 1925 and is the peak body that represents the interests of the amateur and amateur-satellite service</w:t>
      </w:r>
      <w:r w:rsidR="00D451C9" w:rsidRPr="0088765E">
        <w:t>s</w:t>
      </w:r>
      <w:r w:rsidRPr="0088765E">
        <w:t xml:space="preserve"> at the ITU Radiocommunications sector (ITU-R), the ITU Development Sector (ITU-D) and Regional Telecommunication </w:t>
      </w:r>
      <w:r w:rsidR="006C1151" w:rsidRPr="0088765E">
        <w:t>Organization</w:t>
      </w:r>
      <w:r w:rsidR="00E312FE" w:rsidRPr="0088765E">
        <w:t>s</w:t>
      </w:r>
      <w:r w:rsidRPr="0088765E">
        <w:t xml:space="preserve">. Through these various </w:t>
      </w:r>
      <w:r w:rsidR="006C1151" w:rsidRPr="0088765E">
        <w:t>organization</w:t>
      </w:r>
      <w:r w:rsidRPr="0088765E">
        <w:t>s the IARU takes part in discussions on issues tha</w:t>
      </w:r>
      <w:r w:rsidR="008209DF" w:rsidRPr="0088765E">
        <w:t>t may affect the amateur</w:t>
      </w:r>
      <w:r w:rsidRPr="0088765E">
        <w:t xml:space="preserve"> and amateur-satellite service</w:t>
      </w:r>
      <w:r w:rsidR="00BB2CC8" w:rsidRPr="0088765E">
        <w:t>s</w:t>
      </w:r>
      <w:r w:rsidRPr="0088765E">
        <w:t xml:space="preserve">. The IARU especially focuses on </w:t>
      </w:r>
      <w:r w:rsidR="00E312FE" w:rsidRPr="0088765E">
        <w:t xml:space="preserve">ITU </w:t>
      </w:r>
      <w:r w:rsidRPr="0088765E">
        <w:t xml:space="preserve">World Radiocommunication Conference </w:t>
      </w:r>
      <w:r w:rsidR="007162EB" w:rsidRPr="0088765E">
        <w:rPr>
          <w:rFonts w:eastAsiaTheme="minorEastAsia"/>
          <w:lang w:eastAsia="ja-JP"/>
        </w:rPr>
        <w:t xml:space="preserve">(WRC) </w:t>
      </w:r>
      <w:r w:rsidRPr="0088765E">
        <w:t>agenda items where spectrum allocations are made.  Global in scope, the IARU represents more than 160 national amateur radio societies</w:t>
      </w:r>
      <w:r w:rsidR="001C0ED5">
        <w:t xml:space="preserve"> worldwide</w:t>
      </w:r>
      <w:r w:rsidRPr="0088765E">
        <w:t>.</w:t>
      </w:r>
    </w:p>
    <w:p w14:paraId="083812E3" w14:textId="77777777" w:rsidR="0085516D" w:rsidRPr="0088765E" w:rsidRDefault="0085516D" w:rsidP="00A6749C">
      <w:pPr>
        <w:jc w:val="both"/>
      </w:pPr>
    </w:p>
    <w:p w14:paraId="6A395173" w14:textId="5E535B77" w:rsidR="007342EE" w:rsidRPr="0088765E" w:rsidRDefault="007342EE" w:rsidP="00A6749C">
      <w:pPr>
        <w:jc w:val="both"/>
      </w:pPr>
      <w:r w:rsidRPr="0088765E">
        <w:t>The IARU is headed by an International Secretariat which supports the activities of three regional groups that deal with issues for each of the three ITU-R radio regions. IARU-R</w:t>
      </w:r>
      <w:r w:rsidR="00B51C2A" w:rsidRPr="0088765E">
        <w:rPr>
          <w:rFonts w:eastAsiaTheme="minorEastAsia"/>
          <w:lang w:eastAsia="ja-JP"/>
        </w:rPr>
        <w:t xml:space="preserve">egion </w:t>
      </w:r>
      <w:r w:rsidRPr="0088765E">
        <w:t xml:space="preserve">3 covers the Asia-Pacific region and it interacts with the </w:t>
      </w:r>
      <w:hyperlink r:id="rId9" w:history="1">
        <w:r w:rsidRPr="0088765E">
          <w:rPr>
            <w:rStyle w:val="Hyperlink"/>
            <w:rFonts w:eastAsiaTheme="minorEastAsia"/>
            <w:lang w:eastAsia="ja-JP"/>
          </w:rPr>
          <w:t>Asia-Pacific Telecommunity</w:t>
        </w:r>
      </w:hyperlink>
      <w:r w:rsidRPr="0088765E">
        <w:t xml:space="preserve"> (APT) through a Memorandum </w:t>
      </w:r>
      <w:r w:rsidR="007162EB" w:rsidRPr="0088765E">
        <w:rPr>
          <w:rFonts w:eastAsiaTheme="minorEastAsia"/>
          <w:lang w:eastAsia="ja-JP"/>
        </w:rPr>
        <w:t>of</w:t>
      </w:r>
      <w:r w:rsidRPr="0088765E">
        <w:t xml:space="preserve"> </w:t>
      </w:r>
      <w:r w:rsidR="007162EB" w:rsidRPr="0088765E">
        <w:rPr>
          <w:rFonts w:eastAsiaTheme="minorEastAsia"/>
          <w:lang w:eastAsia="ja-JP"/>
        </w:rPr>
        <w:t>Understanding</w:t>
      </w:r>
      <w:r w:rsidRPr="0088765E">
        <w:t>.</w:t>
      </w:r>
    </w:p>
    <w:p w14:paraId="33F69174" w14:textId="77777777" w:rsidR="007342EE" w:rsidRPr="0088765E" w:rsidRDefault="007342EE" w:rsidP="00A6749C">
      <w:pPr>
        <w:jc w:val="both"/>
      </w:pPr>
    </w:p>
    <w:p w14:paraId="1536DF77" w14:textId="21040157" w:rsidR="007342EE" w:rsidRPr="0088765E" w:rsidRDefault="007342EE" w:rsidP="00A6749C">
      <w:pPr>
        <w:jc w:val="both"/>
        <w:rPr>
          <w:rFonts w:eastAsiaTheme="minorEastAsia"/>
          <w:lang w:eastAsia="ja-JP"/>
        </w:rPr>
      </w:pPr>
      <w:r w:rsidRPr="0088765E">
        <w:t>IARU-R</w:t>
      </w:r>
      <w:r w:rsidR="00B51C2A" w:rsidRPr="0088765E">
        <w:rPr>
          <w:rFonts w:eastAsiaTheme="minorEastAsia"/>
          <w:lang w:eastAsia="ja-JP"/>
        </w:rPr>
        <w:t xml:space="preserve">egion </w:t>
      </w:r>
      <w:r w:rsidRPr="0088765E">
        <w:t xml:space="preserve">3 is pleased to take part in the </w:t>
      </w:r>
      <w:hyperlink r:id="rId10" w:history="1">
        <w:r w:rsidRPr="0088765E">
          <w:rPr>
            <w:rStyle w:val="Hyperlink"/>
            <w:rFonts w:eastAsiaTheme="minorEastAsia"/>
            <w:lang w:eastAsia="ja-JP"/>
          </w:rPr>
          <w:t xml:space="preserve">APT </w:t>
        </w:r>
        <w:r w:rsidR="007162EB" w:rsidRPr="0088765E">
          <w:rPr>
            <w:rStyle w:val="Hyperlink"/>
            <w:rFonts w:eastAsiaTheme="minorEastAsia"/>
            <w:lang w:eastAsia="ja-JP"/>
          </w:rPr>
          <w:t xml:space="preserve">Conference </w:t>
        </w:r>
        <w:r w:rsidRPr="0088765E">
          <w:rPr>
            <w:rStyle w:val="Hyperlink"/>
            <w:rFonts w:eastAsiaTheme="minorEastAsia"/>
            <w:lang w:eastAsia="ja-JP"/>
          </w:rPr>
          <w:t>Preparatory Group for WRC</w:t>
        </w:r>
      </w:hyperlink>
      <w:r w:rsidRPr="0088765E">
        <w:t xml:space="preserve"> (APG) </w:t>
      </w:r>
      <w:r w:rsidR="00AA579B" w:rsidRPr="0088765E">
        <w:t>meeting</w:t>
      </w:r>
      <w:r w:rsidR="00552AD1" w:rsidRPr="0088765E">
        <w:t>s</w:t>
      </w:r>
      <w:r w:rsidRPr="0088765E">
        <w:t xml:space="preserve"> and present the views of the amateur and amateur-satellite service</w:t>
      </w:r>
      <w:r w:rsidR="008209DF" w:rsidRPr="0088765E">
        <w:t>s</w:t>
      </w:r>
      <w:r w:rsidRPr="0088765E">
        <w:t xml:space="preserve"> for consideration at this </w:t>
      </w:r>
      <w:r w:rsidR="00E51DF9">
        <w:rPr>
          <w:rFonts w:eastAsiaTheme="minorEastAsia"/>
          <w:lang w:eastAsia="ja-JP"/>
        </w:rPr>
        <w:t>second</w:t>
      </w:r>
      <w:r w:rsidR="002E3C16" w:rsidRPr="0088765E">
        <w:rPr>
          <w:rFonts w:eastAsiaTheme="minorEastAsia"/>
          <w:lang w:eastAsia="ja-JP"/>
        </w:rPr>
        <w:t xml:space="preserve"> </w:t>
      </w:r>
      <w:r w:rsidRPr="0088765E">
        <w:t xml:space="preserve">meeting of the </w:t>
      </w:r>
      <w:r w:rsidR="00552AD1" w:rsidRPr="0088765E">
        <w:t xml:space="preserve">APG </w:t>
      </w:r>
      <w:r w:rsidRPr="0088765E">
        <w:t>(</w:t>
      </w:r>
      <w:hyperlink r:id="rId11" w:history="1">
        <w:r w:rsidRPr="0088765E">
          <w:rPr>
            <w:rStyle w:val="Hyperlink"/>
            <w:rFonts w:eastAsiaTheme="minorEastAsia"/>
            <w:lang w:eastAsia="ja-JP"/>
          </w:rPr>
          <w:t>APG</w:t>
        </w:r>
        <w:r w:rsidR="00E51DF9">
          <w:rPr>
            <w:rStyle w:val="Hyperlink"/>
            <w:rFonts w:eastAsiaTheme="minorEastAsia"/>
            <w:lang w:eastAsia="ja-JP"/>
          </w:rPr>
          <w:t>23</w:t>
        </w:r>
        <w:r w:rsidRPr="0088765E">
          <w:rPr>
            <w:rStyle w:val="Hyperlink"/>
            <w:rFonts w:eastAsiaTheme="minorEastAsia"/>
            <w:lang w:eastAsia="ja-JP"/>
          </w:rPr>
          <w:t>-</w:t>
        </w:r>
        <w:r w:rsidR="00E51DF9">
          <w:rPr>
            <w:rStyle w:val="Hyperlink"/>
            <w:rFonts w:eastAsiaTheme="minorEastAsia"/>
            <w:lang w:eastAsia="ja-JP"/>
          </w:rPr>
          <w:t>2</w:t>
        </w:r>
      </w:hyperlink>
      <w:r w:rsidRPr="0088765E">
        <w:t>).</w:t>
      </w:r>
      <w:r w:rsidR="00E312FE" w:rsidRPr="0088765E">
        <w:t xml:space="preserve"> T</w:t>
      </w:r>
      <w:r w:rsidRPr="0088765E">
        <w:t>he prelimi</w:t>
      </w:r>
      <w:r w:rsidR="00E312FE" w:rsidRPr="0088765E">
        <w:t xml:space="preserve">nary </w:t>
      </w:r>
      <w:r w:rsidRPr="0088765E">
        <w:t>IARU views on WRC-</w:t>
      </w:r>
      <w:r w:rsidR="006B59EA">
        <w:rPr>
          <w:rFonts w:eastAsiaTheme="minorEastAsia" w:hint="eastAsia"/>
          <w:lang w:eastAsia="ja-JP"/>
        </w:rPr>
        <w:t>2</w:t>
      </w:r>
      <w:r w:rsidR="006B59EA">
        <w:rPr>
          <w:rFonts w:eastAsiaTheme="minorEastAsia"/>
          <w:lang w:eastAsia="ja-JP"/>
        </w:rPr>
        <w:t>3</w:t>
      </w:r>
      <w:r w:rsidRPr="0088765E">
        <w:t xml:space="preserve"> agenda items that are relevant to the amateu</w:t>
      </w:r>
      <w:r w:rsidR="00E312FE" w:rsidRPr="0088765E">
        <w:t>r and amateur-satellite service</w:t>
      </w:r>
      <w:r w:rsidR="008209DF" w:rsidRPr="0088765E">
        <w:t>s</w:t>
      </w:r>
      <w:r w:rsidR="00E312FE" w:rsidRPr="0088765E">
        <w:t xml:space="preserve"> are presented below.</w:t>
      </w:r>
      <w:r w:rsidR="007162EB" w:rsidRPr="0088765E">
        <w:rPr>
          <w:rFonts w:eastAsiaTheme="minorEastAsia"/>
          <w:lang w:eastAsia="ja-JP"/>
        </w:rPr>
        <w:t xml:space="preserve"> </w:t>
      </w:r>
    </w:p>
    <w:p w14:paraId="0D4940D6" w14:textId="6EC556D8" w:rsidR="007342EE" w:rsidRDefault="007342EE" w:rsidP="00A6749C">
      <w:pPr>
        <w:jc w:val="both"/>
        <w:rPr>
          <w:b/>
        </w:rPr>
      </w:pPr>
    </w:p>
    <w:p w14:paraId="23A19CE6" w14:textId="77777777" w:rsidR="001D2306" w:rsidRPr="0088765E" w:rsidRDefault="001D2306" w:rsidP="00A6749C">
      <w:pPr>
        <w:jc w:val="both"/>
        <w:rPr>
          <w:b/>
        </w:rPr>
      </w:pPr>
    </w:p>
    <w:p w14:paraId="4E4916E7" w14:textId="61BD4CB4" w:rsidR="008319BF" w:rsidRPr="0088765E" w:rsidRDefault="007342EE" w:rsidP="00A6749C">
      <w:pPr>
        <w:jc w:val="both"/>
      </w:pPr>
      <w:r w:rsidRPr="0088765E">
        <w:rPr>
          <w:b/>
        </w:rPr>
        <w:t xml:space="preserve">2. </w:t>
      </w:r>
      <w:r w:rsidR="000A5418" w:rsidRPr="0088765E">
        <w:rPr>
          <w:b/>
        </w:rPr>
        <w:t xml:space="preserve">Agenda Item </w:t>
      </w:r>
      <w:r w:rsidR="00945760" w:rsidRPr="0088765E">
        <w:rPr>
          <w:rFonts w:eastAsiaTheme="minorEastAsia"/>
          <w:b/>
          <w:lang w:eastAsia="ja-JP"/>
        </w:rPr>
        <w:t>1.</w:t>
      </w:r>
      <w:r w:rsidR="00A2322B">
        <w:rPr>
          <w:rFonts w:eastAsiaTheme="minorEastAsia"/>
          <w:b/>
          <w:lang w:eastAsia="ja-JP"/>
        </w:rPr>
        <w:t>2</w:t>
      </w:r>
      <w:r w:rsidR="000A5418" w:rsidRPr="0088765E">
        <w:rPr>
          <w:b/>
        </w:rPr>
        <w:t xml:space="preserve">: </w:t>
      </w:r>
    </w:p>
    <w:p w14:paraId="6500687E" w14:textId="41F0F231" w:rsidR="00A15238" w:rsidRPr="0088765E" w:rsidRDefault="00A15238" w:rsidP="00A6749C">
      <w:pPr>
        <w:pStyle w:val="paragraph"/>
        <w:spacing w:before="0" w:beforeAutospacing="0" w:after="0" w:afterAutospacing="0"/>
        <w:jc w:val="both"/>
        <w:textAlignment w:val="baseline"/>
        <w:rPr>
          <w:rStyle w:val="scx246492957"/>
        </w:rPr>
      </w:pPr>
      <w:r w:rsidRPr="0088765E">
        <w:rPr>
          <w:rStyle w:val="normaltextrun"/>
          <w:b/>
          <w:bCs/>
          <w:i/>
          <w:iCs/>
        </w:rPr>
        <w:t>to consider</w:t>
      </w:r>
      <w:r w:rsidR="00A2322B">
        <w:rPr>
          <w:rStyle w:val="normaltextrun"/>
          <w:b/>
          <w:bCs/>
          <w:i/>
          <w:iCs/>
        </w:rPr>
        <w:t xml:space="preserve"> identifi</w:t>
      </w:r>
      <w:r w:rsidRPr="0088765E">
        <w:rPr>
          <w:rStyle w:val="normaltextrun"/>
          <w:b/>
          <w:bCs/>
          <w:i/>
          <w:iCs/>
        </w:rPr>
        <w:t>cation of the frequency band</w:t>
      </w:r>
      <w:r w:rsidR="00A2322B">
        <w:rPr>
          <w:rStyle w:val="normaltextrun"/>
          <w:b/>
          <w:bCs/>
          <w:i/>
          <w:iCs/>
        </w:rPr>
        <w:t>s</w:t>
      </w:r>
      <w:r w:rsidRPr="0088765E">
        <w:rPr>
          <w:rStyle w:val="normaltextrun"/>
          <w:b/>
          <w:bCs/>
          <w:i/>
          <w:iCs/>
        </w:rPr>
        <w:t xml:space="preserve"> </w:t>
      </w:r>
      <w:r w:rsidR="00A2322B">
        <w:rPr>
          <w:rStyle w:val="normaltextrun"/>
          <w:b/>
          <w:bCs/>
          <w:i/>
          <w:iCs/>
        </w:rPr>
        <w:t>3 30</w:t>
      </w:r>
      <w:r w:rsidRPr="0088765E">
        <w:rPr>
          <w:rStyle w:val="normaltextrun"/>
          <w:b/>
          <w:bCs/>
          <w:i/>
          <w:iCs/>
        </w:rPr>
        <w:t>0-</w:t>
      </w:r>
      <w:r w:rsidR="00A2322B">
        <w:rPr>
          <w:rStyle w:val="normaltextrun"/>
          <w:b/>
          <w:bCs/>
          <w:i/>
          <w:iCs/>
        </w:rPr>
        <w:t xml:space="preserve">3 </w:t>
      </w:r>
      <w:r w:rsidRPr="0088765E">
        <w:rPr>
          <w:rStyle w:val="normaltextrun"/>
          <w:b/>
          <w:bCs/>
          <w:i/>
          <w:iCs/>
        </w:rPr>
        <w:t>4</w:t>
      </w:r>
      <w:r w:rsidR="00A2322B">
        <w:rPr>
          <w:rStyle w:val="normaltextrun"/>
          <w:b/>
          <w:bCs/>
          <w:i/>
          <w:iCs/>
        </w:rPr>
        <w:t>00</w:t>
      </w:r>
      <w:r w:rsidRPr="0088765E">
        <w:rPr>
          <w:rStyle w:val="normaltextrun"/>
          <w:b/>
          <w:bCs/>
          <w:i/>
          <w:iCs/>
        </w:rPr>
        <w:t xml:space="preserve"> MHz</w:t>
      </w:r>
      <w:r w:rsidR="00A2322B">
        <w:rPr>
          <w:rStyle w:val="normaltextrun"/>
          <w:b/>
          <w:bCs/>
          <w:i/>
          <w:iCs/>
        </w:rPr>
        <w:t>, 3 600-3 800 MHz, 6 425-7 025 MHz</w:t>
      </w:r>
      <w:r w:rsidR="00173A85" w:rsidRPr="00F6280D">
        <w:rPr>
          <w:rStyle w:val="normaltextrun"/>
          <w:rFonts w:eastAsia="MS Mincho"/>
          <w:b/>
          <w:bCs/>
          <w:i/>
          <w:iCs/>
          <w:lang w:eastAsia="ja-JP"/>
        </w:rPr>
        <w:t>, 7 025-7 125 MHz</w:t>
      </w:r>
      <w:r w:rsidR="00A2322B" w:rsidRPr="00F6280D">
        <w:rPr>
          <w:rStyle w:val="normaltextrun"/>
          <w:b/>
          <w:bCs/>
          <w:i/>
          <w:iCs/>
        </w:rPr>
        <w:t xml:space="preserve"> </w:t>
      </w:r>
      <w:r w:rsidR="00A2322B">
        <w:rPr>
          <w:rStyle w:val="normaltextrun"/>
          <w:b/>
          <w:bCs/>
          <w:i/>
          <w:iCs/>
        </w:rPr>
        <w:t xml:space="preserve">and 10.0-10.5 GHz </w:t>
      </w:r>
      <w:r w:rsidR="00551DA7">
        <w:rPr>
          <w:rStyle w:val="normaltextrun"/>
          <w:b/>
          <w:bCs/>
          <w:i/>
          <w:iCs/>
        </w:rPr>
        <w:t>for</w:t>
      </w:r>
      <w:r w:rsidR="00A2322B">
        <w:rPr>
          <w:rStyle w:val="normaltextrun"/>
          <w:b/>
          <w:bCs/>
          <w:i/>
          <w:iCs/>
        </w:rPr>
        <w:t xml:space="preserve"> International Mobile Telecommunications (IMT), including possible additional allocations to the mobile service on a primary basis, in accordance with Resolution 245</w:t>
      </w:r>
      <w:r w:rsidRPr="0088765E">
        <w:rPr>
          <w:rStyle w:val="normaltextrun"/>
          <w:b/>
          <w:bCs/>
          <w:i/>
          <w:iCs/>
        </w:rPr>
        <w:t xml:space="preserve"> (WRC-1</w:t>
      </w:r>
      <w:r w:rsidR="00A2322B">
        <w:rPr>
          <w:rStyle w:val="normaltextrun"/>
          <w:b/>
          <w:bCs/>
          <w:i/>
          <w:iCs/>
        </w:rPr>
        <w:t>9</w:t>
      </w:r>
      <w:r w:rsidRPr="0088765E">
        <w:rPr>
          <w:rStyle w:val="normaltextrun"/>
          <w:b/>
          <w:bCs/>
          <w:i/>
          <w:iCs/>
        </w:rPr>
        <w:t>)</w:t>
      </w:r>
    </w:p>
    <w:p w14:paraId="5BB59C0A" w14:textId="1D4C600D" w:rsidR="00583994" w:rsidRDefault="00583994" w:rsidP="00A6749C">
      <w:pPr>
        <w:jc w:val="both"/>
        <w:rPr>
          <w:rFonts w:eastAsiaTheme="minorEastAsia"/>
          <w:lang w:eastAsia="ja-JP"/>
        </w:rPr>
      </w:pPr>
    </w:p>
    <w:p w14:paraId="160D9663" w14:textId="32540806" w:rsidR="00C621AB" w:rsidRDefault="00B722D1" w:rsidP="00A6749C">
      <w:pPr>
        <w:jc w:val="both"/>
        <w:rPr>
          <w:rFonts w:eastAsiaTheme="minorEastAsia"/>
          <w:lang w:eastAsia="ja-JP"/>
        </w:rPr>
      </w:pPr>
      <w:r>
        <w:rPr>
          <w:rFonts w:eastAsiaTheme="minorEastAsia"/>
          <w:lang w:eastAsia="ja-JP"/>
        </w:rPr>
        <w:t>Frequency bands to be studied with applicable ITU-R Regions</w:t>
      </w:r>
      <w:r w:rsidR="00C621AB">
        <w:rPr>
          <w:rFonts w:eastAsiaTheme="minorEastAsia"/>
          <w:lang w:eastAsia="ja-JP"/>
        </w:rPr>
        <w:t>:</w:t>
      </w:r>
    </w:p>
    <w:p w14:paraId="515FB343" w14:textId="7D28AA27" w:rsidR="00C621AB" w:rsidRDefault="00C621AB" w:rsidP="00C621AB">
      <w:pPr>
        <w:ind w:leftChars="100" w:left="240"/>
        <w:jc w:val="both"/>
        <w:rPr>
          <w:rFonts w:eastAsiaTheme="minorEastAsia"/>
          <w:lang w:eastAsia="ja-JP"/>
        </w:rPr>
      </w:pPr>
      <w:r>
        <w:rPr>
          <w:rFonts w:eastAsiaTheme="minorEastAsia" w:hint="eastAsia"/>
          <w:lang w:eastAsia="ja-JP"/>
        </w:rPr>
        <w:t>3</w:t>
      </w:r>
      <w:r>
        <w:rPr>
          <w:rFonts w:eastAsiaTheme="minorEastAsia"/>
          <w:lang w:eastAsia="ja-JP"/>
        </w:rPr>
        <w:t xml:space="preserve"> 300-3 400 MHz (Region 1 and Region 2)</w:t>
      </w:r>
    </w:p>
    <w:p w14:paraId="1C148518" w14:textId="2A6EAD8E" w:rsidR="00C621AB" w:rsidRDefault="00C621AB" w:rsidP="00C621AB">
      <w:pPr>
        <w:ind w:leftChars="100" w:left="240"/>
        <w:jc w:val="both"/>
        <w:rPr>
          <w:rFonts w:eastAsiaTheme="minorEastAsia"/>
          <w:lang w:eastAsia="ja-JP"/>
        </w:rPr>
      </w:pPr>
      <w:r>
        <w:rPr>
          <w:rFonts w:eastAsiaTheme="minorEastAsia" w:hint="eastAsia"/>
          <w:lang w:eastAsia="ja-JP"/>
        </w:rPr>
        <w:t>3</w:t>
      </w:r>
      <w:r>
        <w:rPr>
          <w:rFonts w:eastAsiaTheme="minorEastAsia"/>
          <w:lang w:eastAsia="ja-JP"/>
        </w:rPr>
        <w:t xml:space="preserve"> 600-3 800 MHz (Region 2)</w:t>
      </w:r>
    </w:p>
    <w:p w14:paraId="7304E119" w14:textId="75941794" w:rsidR="00C621AB" w:rsidRDefault="006C055E" w:rsidP="00C621AB">
      <w:pPr>
        <w:ind w:leftChars="100" w:left="240"/>
        <w:jc w:val="both"/>
        <w:rPr>
          <w:rFonts w:eastAsiaTheme="minorEastAsia"/>
          <w:lang w:eastAsia="ja-JP"/>
        </w:rPr>
      </w:pPr>
      <w:r>
        <w:rPr>
          <w:rFonts w:eastAsiaTheme="minorEastAsia" w:hint="eastAsia"/>
          <w:lang w:eastAsia="ja-JP"/>
        </w:rPr>
        <w:t>6</w:t>
      </w:r>
      <w:r>
        <w:rPr>
          <w:rFonts w:eastAsiaTheme="minorEastAsia"/>
          <w:lang w:eastAsia="ja-JP"/>
        </w:rPr>
        <w:t xml:space="preserve"> 425-7 025 MHz (Region 1)</w:t>
      </w:r>
    </w:p>
    <w:p w14:paraId="4D5981D9" w14:textId="4FBB8869" w:rsidR="006C055E" w:rsidRDefault="006C055E" w:rsidP="00C621AB">
      <w:pPr>
        <w:ind w:leftChars="100" w:left="240"/>
        <w:jc w:val="both"/>
        <w:rPr>
          <w:rFonts w:eastAsiaTheme="minorEastAsia"/>
          <w:lang w:eastAsia="ja-JP"/>
        </w:rPr>
      </w:pPr>
      <w:r>
        <w:rPr>
          <w:rFonts w:eastAsiaTheme="minorEastAsia"/>
          <w:lang w:eastAsia="ja-JP"/>
        </w:rPr>
        <w:t>7 025-7 125 MHz (Global)</w:t>
      </w:r>
    </w:p>
    <w:p w14:paraId="686D02ED" w14:textId="355155E3" w:rsidR="006C055E" w:rsidRDefault="006C055E" w:rsidP="00C621AB">
      <w:pPr>
        <w:ind w:leftChars="100" w:left="240"/>
        <w:jc w:val="both"/>
        <w:rPr>
          <w:rFonts w:eastAsiaTheme="minorEastAsia"/>
          <w:lang w:eastAsia="ja-JP"/>
        </w:rPr>
      </w:pPr>
      <w:r>
        <w:rPr>
          <w:rFonts w:eastAsiaTheme="minorEastAsia" w:hint="eastAsia"/>
          <w:lang w:eastAsia="ja-JP"/>
        </w:rPr>
        <w:t>1</w:t>
      </w:r>
      <w:r>
        <w:rPr>
          <w:rFonts w:eastAsiaTheme="minorEastAsia"/>
          <w:lang w:eastAsia="ja-JP"/>
        </w:rPr>
        <w:t>0.0-10.5 GHz (Region 2)</w:t>
      </w:r>
    </w:p>
    <w:p w14:paraId="4CFCEA4D" w14:textId="77777777" w:rsidR="00C621AB" w:rsidRPr="0088765E" w:rsidRDefault="00C621AB" w:rsidP="00A6749C">
      <w:pPr>
        <w:jc w:val="both"/>
        <w:rPr>
          <w:rFonts w:eastAsiaTheme="minorEastAsia"/>
          <w:lang w:eastAsia="ja-JP"/>
        </w:rPr>
      </w:pPr>
    </w:p>
    <w:p w14:paraId="6130058C" w14:textId="4FB88925" w:rsidR="000A5418" w:rsidRPr="0088765E" w:rsidRDefault="007342EE" w:rsidP="00A6749C">
      <w:pPr>
        <w:spacing w:after="120"/>
        <w:jc w:val="both"/>
        <w:rPr>
          <w:b/>
          <w:lang w:eastAsia="ko-KR"/>
        </w:rPr>
      </w:pPr>
      <w:r w:rsidRPr="0088765E">
        <w:rPr>
          <w:b/>
          <w:lang w:eastAsia="ko-KR"/>
        </w:rPr>
        <w:t>2.1</w:t>
      </w:r>
      <w:r w:rsidR="000A5418" w:rsidRPr="0088765E">
        <w:rPr>
          <w:b/>
          <w:lang w:eastAsia="ko-KR"/>
        </w:rPr>
        <w:t xml:space="preserve"> Background</w:t>
      </w:r>
    </w:p>
    <w:p w14:paraId="42375AE4" w14:textId="31B4276B" w:rsidR="000A5418" w:rsidRDefault="000A5418" w:rsidP="00A6749C">
      <w:pPr>
        <w:jc w:val="both"/>
      </w:pPr>
    </w:p>
    <w:p w14:paraId="67591247" w14:textId="448E293F" w:rsidR="006B59EA" w:rsidRDefault="006B59EA" w:rsidP="006B59EA">
      <w:pPr>
        <w:jc w:val="both"/>
      </w:pPr>
      <w:r>
        <w:t>The amateur service has a secondary allocation in 3 300-3 400 MHz in Region 2 and 3.</w:t>
      </w:r>
      <w:r w:rsidR="003905D5">
        <w:t xml:space="preserve"> </w:t>
      </w:r>
      <w:r>
        <w:t>The amateur service has a secondary worldwide allocation in 10.0-10.5 GHz with the</w:t>
      </w:r>
      <w:r w:rsidR="003905D5">
        <w:t xml:space="preserve"> </w:t>
      </w:r>
      <w:r>
        <w:t>frequency band 10.45-10.5 GHz also allocated to the amateur- satellite service on a</w:t>
      </w:r>
      <w:r w:rsidR="003905D5">
        <w:t xml:space="preserve"> </w:t>
      </w:r>
      <w:r>
        <w:t>secondary basis.</w:t>
      </w:r>
    </w:p>
    <w:p w14:paraId="6658F967" w14:textId="7E64D196" w:rsidR="006C055E" w:rsidRDefault="006C055E" w:rsidP="006B59EA">
      <w:pPr>
        <w:jc w:val="both"/>
      </w:pPr>
    </w:p>
    <w:p w14:paraId="7CC95A47" w14:textId="7DC6E4DB" w:rsidR="006C055E" w:rsidRDefault="006C055E" w:rsidP="006C055E">
      <w:pPr>
        <w:jc w:val="both"/>
      </w:pPr>
      <w:r>
        <w:t>Amateur activity in the 3 300-3 400 MHz band in Regions 2 and 3 is mainly low-power, point</w:t>
      </w:r>
      <w:r w:rsidR="0007176A">
        <w:t>-</w:t>
      </w:r>
      <w:r>
        <w:t>to-point, broadband digital links.</w:t>
      </w:r>
    </w:p>
    <w:p w14:paraId="52469BF2" w14:textId="79D96C73" w:rsidR="0007176A" w:rsidRDefault="0007176A" w:rsidP="006C055E">
      <w:pPr>
        <w:jc w:val="both"/>
      </w:pPr>
    </w:p>
    <w:p w14:paraId="25227A4E" w14:textId="3F9A89B7" w:rsidR="0007176A" w:rsidRDefault="0007176A" w:rsidP="0007176A">
      <w:pPr>
        <w:jc w:val="both"/>
      </w:pPr>
      <w:r>
        <w:t>The worldwide secondary 10.0-10.5 GHz allocation is the most heavily used amateur</w:t>
      </w:r>
      <w:r w:rsidR="003905D5">
        <w:t xml:space="preserve"> </w:t>
      </w:r>
      <w:r>
        <w:t>microwave allocation with the largest investment in equipment and antennas. The band</w:t>
      </w:r>
      <w:r w:rsidR="003905D5">
        <w:t xml:space="preserve"> </w:t>
      </w:r>
      <w:r>
        <w:t>supports terrestrial broadband digital fixed links, beacons used for propagation research, and</w:t>
      </w:r>
      <w:r w:rsidR="003905D5">
        <w:t xml:space="preserve"> </w:t>
      </w:r>
      <w:r>
        <w:t>two-way communication using a variety of propagation modes including tropospheric scatter,</w:t>
      </w:r>
      <w:r w:rsidR="003905D5">
        <w:t xml:space="preserve"> </w:t>
      </w:r>
      <w:r>
        <w:t>rain scatter, and Earth-Moon-Earth (“moon-bounce”).</w:t>
      </w:r>
    </w:p>
    <w:p w14:paraId="39B8B044" w14:textId="7D4EF90A" w:rsidR="00C621AB" w:rsidRDefault="00C621AB" w:rsidP="006B59EA">
      <w:pPr>
        <w:jc w:val="both"/>
      </w:pPr>
    </w:p>
    <w:p w14:paraId="59B4FAC1" w14:textId="70871E65" w:rsidR="00C621AB" w:rsidRDefault="006C055E" w:rsidP="006C055E">
      <w:pPr>
        <w:jc w:val="both"/>
      </w:pPr>
      <w:r>
        <w:t>The geostationary QO-100 satellite downlink is in the 10.45-10.5 GHz band. The satellite is</w:t>
      </w:r>
      <w:r w:rsidR="003905D5">
        <w:t xml:space="preserve"> </w:t>
      </w:r>
      <w:r>
        <w:t>positioned at 25.8 degrees East and covers the eastern portion of Region 2 along with most of</w:t>
      </w:r>
      <w:r w:rsidR="003905D5">
        <w:t xml:space="preserve"> </w:t>
      </w:r>
      <w:r>
        <w:t>Region 1 and much of Region 3. It is in constant heavy use for both narrow band voice and</w:t>
      </w:r>
      <w:r w:rsidR="003905D5">
        <w:t xml:space="preserve"> </w:t>
      </w:r>
      <w:r>
        <w:t>data communications as well as wide band Digital TV applications. Amateur operations in</w:t>
      </w:r>
      <w:r w:rsidR="003905D5">
        <w:t xml:space="preserve"> </w:t>
      </w:r>
      <w:r>
        <w:t>the 10.0-10.5 GHz band are compatible with the other services to which the band is currently</w:t>
      </w:r>
      <w:r w:rsidR="003905D5">
        <w:t xml:space="preserve"> </w:t>
      </w:r>
      <w:r>
        <w:t>allocated. The identification of the band for IMT in Region 2 would seriously impair the</w:t>
      </w:r>
      <w:r w:rsidR="003905D5">
        <w:t xml:space="preserve"> </w:t>
      </w:r>
      <w:r>
        <w:t>utility of the band for existing and anticipated future amateur applications.</w:t>
      </w:r>
    </w:p>
    <w:p w14:paraId="2B908956" w14:textId="77777777" w:rsidR="001D2306" w:rsidRPr="0088765E" w:rsidRDefault="001D2306" w:rsidP="00A6749C">
      <w:pPr>
        <w:jc w:val="both"/>
      </w:pPr>
    </w:p>
    <w:p w14:paraId="60A6BFA8" w14:textId="0F33F777" w:rsidR="000A5418" w:rsidRPr="0088765E" w:rsidRDefault="007342EE" w:rsidP="00A6749C">
      <w:pPr>
        <w:jc w:val="both"/>
        <w:rPr>
          <w:b/>
        </w:rPr>
      </w:pPr>
      <w:r w:rsidRPr="0088765E">
        <w:rPr>
          <w:b/>
        </w:rPr>
        <w:t>2.</w:t>
      </w:r>
      <w:r w:rsidR="000A5418" w:rsidRPr="0088765E">
        <w:rPr>
          <w:b/>
        </w:rPr>
        <w:t xml:space="preserve">2 </w:t>
      </w:r>
      <w:r w:rsidR="00E312FE" w:rsidRPr="0088765E">
        <w:rPr>
          <w:b/>
        </w:rPr>
        <w:t>IARU v</w:t>
      </w:r>
      <w:r w:rsidR="000A5418" w:rsidRPr="0088765E">
        <w:rPr>
          <w:b/>
        </w:rPr>
        <w:t>iew</w:t>
      </w:r>
      <w:r w:rsidR="00E312FE" w:rsidRPr="0088765E">
        <w:rPr>
          <w:b/>
        </w:rPr>
        <w:t xml:space="preserve"> on agenda item 1.</w:t>
      </w:r>
      <w:r w:rsidR="00A2322B">
        <w:rPr>
          <w:b/>
        </w:rPr>
        <w:t>2</w:t>
      </w:r>
    </w:p>
    <w:p w14:paraId="32435710" w14:textId="77777777" w:rsidR="00676B86" w:rsidRPr="0088765E" w:rsidRDefault="00676B86" w:rsidP="00A6749C">
      <w:pPr>
        <w:jc w:val="both"/>
        <w:rPr>
          <w:rFonts w:eastAsiaTheme="minorEastAsia"/>
          <w:lang w:eastAsia="ja-JP"/>
        </w:rPr>
      </w:pPr>
    </w:p>
    <w:p w14:paraId="1FF0AF97" w14:textId="4CCFFCBF" w:rsidR="00066BC8" w:rsidRDefault="00A2322B" w:rsidP="00A2322B">
      <w:pPr>
        <w:rPr>
          <w:kern w:val="2"/>
          <w:lang w:eastAsia="ar-SA"/>
        </w:rPr>
      </w:pPr>
      <w:r w:rsidRPr="00A2322B">
        <w:rPr>
          <w:kern w:val="2"/>
          <w:lang w:eastAsia="ar-SA"/>
        </w:rPr>
        <w:t>The IARU opposes the identification of the band 10.0-10.5 GHz for IMT in Region 2 as well</w:t>
      </w:r>
      <w:r w:rsidR="003905D5">
        <w:rPr>
          <w:kern w:val="2"/>
          <w:lang w:eastAsia="ar-SA"/>
        </w:rPr>
        <w:t xml:space="preserve"> </w:t>
      </w:r>
      <w:r w:rsidRPr="00A2322B">
        <w:rPr>
          <w:kern w:val="2"/>
          <w:lang w:eastAsia="ar-SA"/>
        </w:rPr>
        <w:t>as the introduction of a mobile service allocation in the region, which would be a necessary</w:t>
      </w:r>
      <w:r w:rsidR="003905D5">
        <w:rPr>
          <w:kern w:val="2"/>
          <w:lang w:eastAsia="ar-SA"/>
        </w:rPr>
        <w:t xml:space="preserve"> </w:t>
      </w:r>
      <w:r w:rsidRPr="00A2322B">
        <w:rPr>
          <w:kern w:val="2"/>
          <w:lang w:eastAsia="ar-SA"/>
        </w:rPr>
        <w:t>precursor to its identification for IMT. Spectrum sharing with a mass market deployment of</w:t>
      </w:r>
      <w:r w:rsidR="003905D5">
        <w:rPr>
          <w:kern w:val="2"/>
          <w:lang w:eastAsia="ar-SA"/>
        </w:rPr>
        <w:t xml:space="preserve"> </w:t>
      </w:r>
      <w:r w:rsidRPr="00A2322B">
        <w:rPr>
          <w:kern w:val="2"/>
          <w:lang w:eastAsia="ar-SA"/>
        </w:rPr>
        <w:t>mobile systems can be challenging and experiences have shown that the legal implications of</w:t>
      </w:r>
      <w:r w:rsidR="00066BC8">
        <w:rPr>
          <w:kern w:val="2"/>
          <w:lang w:eastAsia="ar-SA"/>
        </w:rPr>
        <w:t xml:space="preserve"> </w:t>
      </w:r>
      <w:r w:rsidRPr="00A2322B">
        <w:rPr>
          <w:kern w:val="2"/>
          <w:lang w:eastAsia="ar-SA"/>
        </w:rPr>
        <w:t>national IMT licensing processes and service provider requirements tend to result in removal</w:t>
      </w:r>
      <w:r w:rsidR="003905D5">
        <w:rPr>
          <w:kern w:val="2"/>
          <w:lang w:eastAsia="ar-SA"/>
        </w:rPr>
        <w:t xml:space="preserve"> </w:t>
      </w:r>
      <w:r w:rsidRPr="00A2322B">
        <w:rPr>
          <w:kern w:val="2"/>
          <w:lang w:eastAsia="ar-SA"/>
        </w:rPr>
        <w:t>of national amateur service assignments which can severely affect the development of</w:t>
      </w:r>
      <w:r w:rsidR="003905D5">
        <w:rPr>
          <w:kern w:val="2"/>
          <w:lang w:eastAsia="ar-SA"/>
        </w:rPr>
        <w:t xml:space="preserve"> </w:t>
      </w:r>
      <w:r w:rsidRPr="00A2322B">
        <w:rPr>
          <w:kern w:val="2"/>
          <w:lang w:eastAsia="ar-SA"/>
        </w:rPr>
        <w:t>amateur radio.</w:t>
      </w:r>
    </w:p>
    <w:p w14:paraId="13E159D9" w14:textId="4740A163" w:rsidR="001C0ED5" w:rsidRDefault="001C0ED5" w:rsidP="00A2322B">
      <w:pPr>
        <w:rPr>
          <w:kern w:val="2"/>
          <w:lang w:eastAsia="ar-SA"/>
        </w:rPr>
      </w:pPr>
    </w:p>
    <w:p w14:paraId="157C3EB7" w14:textId="5A7EAD99" w:rsidR="001C0ED5" w:rsidRPr="0088765E" w:rsidRDefault="001C0ED5" w:rsidP="00A2322B">
      <w:pPr>
        <w:rPr>
          <w:color w:val="000000" w:themeColor="text1"/>
        </w:rPr>
      </w:pPr>
      <w:r w:rsidRPr="00F9423C">
        <w:rPr>
          <w:i/>
          <w:iCs/>
          <w:color w:val="000000" w:themeColor="text1"/>
          <w:lang w:val="en-ZA"/>
        </w:rPr>
        <w:t xml:space="preserve">Considering j) </w:t>
      </w:r>
      <w:r w:rsidRPr="00F9423C">
        <w:rPr>
          <w:color w:val="000000" w:themeColor="text1"/>
          <w:lang w:val="en-ZA"/>
        </w:rPr>
        <w:t xml:space="preserve">of Resolution 245 (WRC-19) notes that harmonized worldwide arrangements for IMT are “highly desirable;” it logically follows that an undesirable regional identification for IMT must be weighed against the continuing requirements of incumbent services. While studies are only invited with regard to the protection of primary services, </w:t>
      </w:r>
      <w:r w:rsidRPr="00F9423C">
        <w:rPr>
          <w:i/>
          <w:iCs/>
          <w:color w:val="000000" w:themeColor="text1"/>
          <w:lang w:val="en-ZA"/>
        </w:rPr>
        <w:t xml:space="preserve">considering k) and l) </w:t>
      </w:r>
      <w:r w:rsidRPr="00F9423C">
        <w:rPr>
          <w:color w:val="000000" w:themeColor="text1"/>
          <w:lang w:val="en-ZA"/>
        </w:rPr>
        <w:t xml:space="preserve">and </w:t>
      </w:r>
      <w:r w:rsidRPr="00F9423C">
        <w:rPr>
          <w:i/>
          <w:iCs/>
          <w:color w:val="000000" w:themeColor="text1"/>
          <w:lang w:val="en-ZA"/>
        </w:rPr>
        <w:t xml:space="preserve">recognizing c) </w:t>
      </w:r>
      <w:r w:rsidRPr="00F9423C">
        <w:rPr>
          <w:color w:val="000000" w:themeColor="text1"/>
          <w:lang w:val="en-ZA"/>
        </w:rPr>
        <w:t>of the resolution make no distinction between primary and secondary allocations with regard to the need to protect existing services.</w:t>
      </w:r>
    </w:p>
    <w:p w14:paraId="46838E33" w14:textId="77777777" w:rsidR="001C0ED5" w:rsidRPr="0088765E" w:rsidRDefault="001C0ED5" w:rsidP="001C0ED5">
      <w:pPr>
        <w:rPr>
          <w:color w:val="000000" w:themeColor="text1"/>
        </w:rPr>
      </w:pPr>
      <w:r>
        <w:t xml:space="preserve">The use and evolving needs of the amateur and amateur-satellite services must not be overlooked as an undesirable regional arrangement for IMT is being considered. </w:t>
      </w:r>
      <w:r w:rsidRPr="005A147D">
        <w:t xml:space="preserve">The IARU </w:t>
      </w:r>
      <w:r>
        <w:t>r</w:t>
      </w:r>
      <w:r w:rsidRPr="005A147D">
        <w:t xml:space="preserve">equests that the special status of 10.45-10.5 GHz as a worldwide amateur-satellite allocation </w:t>
      </w:r>
      <w:r>
        <w:t xml:space="preserve">with no mobile allocation </w:t>
      </w:r>
      <w:r w:rsidRPr="005A147D">
        <w:t>be respected.</w:t>
      </w:r>
    </w:p>
    <w:p w14:paraId="591D4AC1" w14:textId="62F16F59" w:rsidR="0005235C" w:rsidRPr="001C0ED5" w:rsidRDefault="0005235C" w:rsidP="00CA63DA">
      <w:pPr>
        <w:pStyle w:val="paragraph"/>
        <w:spacing w:before="0" w:beforeAutospacing="0" w:after="0" w:afterAutospacing="0"/>
        <w:jc w:val="both"/>
        <w:textAlignment w:val="baseline"/>
        <w:rPr>
          <w:kern w:val="2"/>
          <w:lang w:eastAsia="ar-SA"/>
        </w:rPr>
      </w:pPr>
    </w:p>
    <w:p w14:paraId="634991A1" w14:textId="77777777" w:rsidR="001D2306" w:rsidRPr="0088765E" w:rsidRDefault="001D2306" w:rsidP="00CA63DA">
      <w:pPr>
        <w:pStyle w:val="paragraph"/>
        <w:spacing w:before="0" w:beforeAutospacing="0" w:after="0" w:afterAutospacing="0"/>
        <w:jc w:val="both"/>
        <w:textAlignment w:val="baseline"/>
        <w:rPr>
          <w:kern w:val="2"/>
          <w:lang w:eastAsia="ar-SA"/>
        </w:rPr>
      </w:pPr>
    </w:p>
    <w:p w14:paraId="6A361174" w14:textId="7C87E040" w:rsidR="000A5418" w:rsidRPr="0088765E" w:rsidRDefault="007342EE" w:rsidP="00A6749C">
      <w:pPr>
        <w:jc w:val="both"/>
      </w:pPr>
      <w:r w:rsidRPr="0088765E">
        <w:rPr>
          <w:b/>
        </w:rPr>
        <w:t xml:space="preserve">3. </w:t>
      </w:r>
      <w:r w:rsidR="000A5418" w:rsidRPr="0088765E">
        <w:rPr>
          <w:b/>
        </w:rPr>
        <w:t xml:space="preserve">Agenda Item </w:t>
      </w:r>
      <w:r w:rsidR="009F643B" w:rsidRPr="0088765E">
        <w:rPr>
          <w:rFonts w:eastAsiaTheme="minorEastAsia"/>
          <w:b/>
          <w:lang w:eastAsia="ja-JP"/>
        </w:rPr>
        <w:t>1.</w:t>
      </w:r>
      <w:r w:rsidR="00A2322B">
        <w:rPr>
          <w:rFonts w:eastAsiaTheme="minorEastAsia"/>
          <w:b/>
          <w:lang w:eastAsia="ja-JP"/>
        </w:rPr>
        <w:t>12</w:t>
      </w:r>
      <w:r w:rsidR="000A5418" w:rsidRPr="0088765E">
        <w:rPr>
          <w:b/>
        </w:rPr>
        <w:t xml:space="preserve">: </w:t>
      </w:r>
    </w:p>
    <w:p w14:paraId="37486BFA" w14:textId="437DDB2C" w:rsidR="009F643B" w:rsidRPr="0088765E" w:rsidRDefault="00A2322B" w:rsidP="00A2322B">
      <w:pPr>
        <w:pStyle w:val="PlainText"/>
        <w:jc w:val="both"/>
        <w:rPr>
          <w:rFonts w:ascii="Times New Roman" w:hAnsi="Times New Roman" w:cs="Times New Roman"/>
          <w:b/>
          <w:i/>
          <w:sz w:val="24"/>
          <w:szCs w:val="24"/>
        </w:rPr>
      </w:pPr>
      <w:r w:rsidRPr="00A2322B">
        <w:rPr>
          <w:rFonts w:ascii="Times New Roman" w:hAnsi="Times New Roman" w:cs="Times New Roman"/>
          <w:b/>
          <w:i/>
          <w:sz w:val="24"/>
          <w:szCs w:val="24"/>
        </w:rPr>
        <w:t>to conduct, and complete in time for WRC-23, studies for a possible new secondary</w:t>
      </w:r>
      <w:r w:rsidR="0007176A">
        <w:rPr>
          <w:rFonts w:ascii="Times New Roman" w:hAnsi="Times New Roman" w:cs="Times New Roman"/>
          <w:b/>
          <w:i/>
          <w:sz w:val="24"/>
          <w:szCs w:val="24"/>
        </w:rPr>
        <w:t xml:space="preserve"> </w:t>
      </w:r>
      <w:r w:rsidRPr="00A2322B">
        <w:rPr>
          <w:rFonts w:ascii="Times New Roman" w:hAnsi="Times New Roman" w:cs="Times New Roman"/>
          <w:b/>
          <w:i/>
          <w:sz w:val="24"/>
          <w:szCs w:val="24"/>
        </w:rPr>
        <w:t>allocation to the Earth exploration-satellite (active) service for spaceborne radar sounders</w:t>
      </w:r>
      <w:r w:rsidR="0007176A">
        <w:rPr>
          <w:rFonts w:ascii="Times New Roman" w:hAnsi="Times New Roman" w:cs="Times New Roman"/>
          <w:b/>
          <w:i/>
          <w:sz w:val="24"/>
          <w:szCs w:val="24"/>
        </w:rPr>
        <w:t xml:space="preserve"> </w:t>
      </w:r>
      <w:r w:rsidRPr="00A2322B">
        <w:rPr>
          <w:rFonts w:ascii="Times New Roman" w:hAnsi="Times New Roman" w:cs="Times New Roman"/>
          <w:b/>
          <w:i/>
          <w:sz w:val="24"/>
          <w:szCs w:val="24"/>
        </w:rPr>
        <w:t>within the range of frequencies around 45 MHz, taking into account the protection of</w:t>
      </w:r>
      <w:r w:rsidR="0007176A">
        <w:rPr>
          <w:rFonts w:ascii="Times New Roman" w:hAnsi="Times New Roman" w:cs="Times New Roman"/>
          <w:b/>
          <w:i/>
          <w:sz w:val="24"/>
          <w:szCs w:val="24"/>
        </w:rPr>
        <w:t xml:space="preserve"> </w:t>
      </w:r>
      <w:r w:rsidRPr="00A2322B">
        <w:rPr>
          <w:rFonts w:ascii="Times New Roman" w:hAnsi="Times New Roman" w:cs="Times New Roman"/>
          <w:b/>
          <w:i/>
          <w:sz w:val="24"/>
          <w:szCs w:val="24"/>
        </w:rPr>
        <w:t>incumbent services, including in adjacent bands, in accordance with Resolution 656</w:t>
      </w:r>
      <w:r w:rsidR="0007176A">
        <w:rPr>
          <w:rFonts w:ascii="Times New Roman" w:hAnsi="Times New Roman" w:cs="Times New Roman"/>
          <w:b/>
          <w:i/>
          <w:sz w:val="24"/>
          <w:szCs w:val="24"/>
        </w:rPr>
        <w:t xml:space="preserve"> </w:t>
      </w:r>
      <w:r w:rsidRPr="00A2322B">
        <w:rPr>
          <w:rFonts w:ascii="Times New Roman" w:hAnsi="Times New Roman" w:cs="Times New Roman"/>
          <w:b/>
          <w:i/>
          <w:sz w:val="24"/>
          <w:szCs w:val="24"/>
        </w:rPr>
        <w:t>(Rev.WRC-19)</w:t>
      </w:r>
    </w:p>
    <w:p w14:paraId="2875D494" w14:textId="77777777" w:rsidR="00E312FE" w:rsidRPr="0088765E" w:rsidRDefault="00E312FE" w:rsidP="00A6749C">
      <w:pPr>
        <w:spacing w:after="120"/>
        <w:jc w:val="both"/>
        <w:rPr>
          <w:b/>
          <w:lang w:eastAsia="ko-KR"/>
        </w:rPr>
      </w:pPr>
    </w:p>
    <w:p w14:paraId="4B68E8B0" w14:textId="2AE4F6FE" w:rsidR="000A5418" w:rsidRPr="0088765E" w:rsidRDefault="007342EE" w:rsidP="00A6749C">
      <w:pPr>
        <w:spacing w:after="120"/>
        <w:jc w:val="both"/>
        <w:rPr>
          <w:b/>
          <w:lang w:eastAsia="ko-KR"/>
        </w:rPr>
      </w:pPr>
      <w:r w:rsidRPr="0088765E">
        <w:rPr>
          <w:b/>
          <w:lang w:eastAsia="ko-KR"/>
        </w:rPr>
        <w:t>3.1</w:t>
      </w:r>
      <w:r w:rsidR="000A5418" w:rsidRPr="0088765E">
        <w:rPr>
          <w:b/>
          <w:lang w:eastAsia="ko-KR"/>
        </w:rPr>
        <w:t xml:space="preserve"> Background</w:t>
      </w:r>
    </w:p>
    <w:p w14:paraId="0C79C627" w14:textId="4F830813" w:rsidR="005A053C" w:rsidRDefault="005A053C" w:rsidP="005A053C">
      <w:pPr>
        <w:jc w:val="both"/>
        <w:rPr>
          <w:rFonts w:eastAsiaTheme="minorEastAsia"/>
          <w:lang w:eastAsia="ja-JP"/>
        </w:rPr>
      </w:pPr>
    </w:p>
    <w:p w14:paraId="70D9AFF2" w14:textId="4FAC2772" w:rsidR="0007176A" w:rsidRDefault="0007176A" w:rsidP="0007176A">
      <w:pPr>
        <w:jc w:val="both"/>
        <w:rPr>
          <w:rFonts w:eastAsiaTheme="minorEastAsia"/>
          <w:lang w:eastAsia="ja-JP"/>
        </w:rPr>
      </w:pPr>
      <w:r w:rsidRPr="0007176A">
        <w:rPr>
          <w:rFonts w:eastAsiaTheme="minorEastAsia"/>
          <w:lang w:eastAsia="ja-JP"/>
        </w:rPr>
        <w:t>In Regions 2 and 3 a primary allocation to the amateur service of 50-54 MHz has existed for</w:t>
      </w:r>
      <w:r w:rsidR="003905D5">
        <w:rPr>
          <w:rFonts w:eastAsiaTheme="minorEastAsia"/>
          <w:lang w:eastAsia="ja-JP"/>
        </w:rPr>
        <w:t xml:space="preserve"> </w:t>
      </w:r>
      <w:r w:rsidRPr="0007176A">
        <w:rPr>
          <w:rFonts w:eastAsiaTheme="minorEastAsia"/>
          <w:lang w:eastAsia="ja-JP"/>
        </w:rPr>
        <w:t xml:space="preserve">decades. WRC-19 adopted a secondary allocation in Region 1 of 50-52 </w:t>
      </w:r>
      <w:proofErr w:type="spellStart"/>
      <w:r w:rsidRPr="0007176A">
        <w:rPr>
          <w:rFonts w:eastAsiaTheme="minorEastAsia"/>
          <w:lang w:eastAsia="ja-JP"/>
        </w:rPr>
        <w:t>MHz.</w:t>
      </w:r>
      <w:proofErr w:type="spellEnd"/>
      <w:r w:rsidRPr="0007176A">
        <w:rPr>
          <w:rFonts w:eastAsiaTheme="minorEastAsia"/>
          <w:lang w:eastAsia="ja-JP"/>
        </w:rPr>
        <w:t xml:space="preserve"> Country</w:t>
      </w:r>
      <w:r w:rsidR="003905D5">
        <w:rPr>
          <w:rFonts w:eastAsiaTheme="minorEastAsia"/>
          <w:lang w:eastAsia="ja-JP"/>
        </w:rPr>
        <w:t xml:space="preserve"> </w:t>
      </w:r>
      <w:r w:rsidRPr="0007176A">
        <w:rPr>
          <w:rFonts w:eastAsiaTheme="minorEastAsia"/>
          <w:lang w:eastAsia="ja-JP"/>
        </w:rPr>
        <w:t>footnotes provide primary status in numerous countries with a lower frequency limit of 50</w:t>
      </w:r>
      <w:r w:rsidR="003905D5">
        <w:rPr>
          <w:rFonts w:eastAsiaTheme="minorEastAsia"/>
          <w:lang w:eastAsia="ja-JP"/>
        </w:rPr>
        <w:t xml:space="preserve"> </w:t>
      </w:r>
      <w:r w:rsidRPr="0007176A">
        <w:rPr>
          <w:rFonts w:eastAsiaTheme="minorEastAsia"/>
          <w:lang w:eastAsia="ja-JP"/>
        </w:rPr>
        <w:t xml:space="preserve">MHz and upper frequency limits ranging from 50.5 to 54 </w:t>
      </w:r>
      <w:proofErr w:type="spellStart"/>
      <w:r w:rsidRPr="0007176A">
        <w:rPr>
          <w:rFonts w:eastAsiaTheme="minorEastAsia"/>
          <w:lang w:eastAsia="ja-JP"/>
        </w:rPr>
        <w:t>MHz.</w:t>
      </w:r>
      <w:proofErr w:type="spellEnd"/>
    </w:p>
    <w:p w14:paraId="49393FF2" w14:textId="3456F9C9" w:rsidR="0007176A" w:rsidRDefault="0007176A" w:rsidP="0007176A">
      <w:pPr>
        <w:jc w:val="both"/>
        <w:rPr>
          <w:rFonts w:eastAsiaTheme="minorEastAsia"/>
          <w:lang w:eastAsia="ja-JP"/>
        </w:rPr>
      </w:pPr>
    </w:p>
    <w:p w14:paraId="07B969D1" w14:textId="009062B5" w:rsidR="0007176A" w:rsidRPr="0088765E" w:rsidRDefault="001C0ED5" w:rsidP="0007176A">
      <w:pPr>
        <w:jc w:val="both"/>
        <w:rPr>
          <w:rFonts w:eastAsiaTheme="minorEastAsia"/>
          <w:lang w:eastAsia="ja-JP"/>
        </w:rPr>
      </w:pPr>
      <w:r>
        <w:rPr>
          <w:rFonts w:eastAsiaTheme="minorEastAsia"/>
          <w:lang w:eastAsia="ja-JP"/>
        </w:rPr>
        <w:t xml:space="preserve">The </w:t>
      </w:r>
      <w:r w:rsidR="001D2306">
        <w:rPr>
          <w:rFonts w:eastAsiaTheme="minorEastAsia" w:hint="eastAsia"/>
          <w:lang w:eastAsia="ja-JP"/>
        </w:rPr>
        <w:t>5</w:t>
      </w:r>
      <w:r w:rsidR="001D2306">
        <w:rPr>
          <w:rFonts w:eastAsiaTheme="minorEastAsia"/>
          <w:lang w:eastAsia="ja-JP"/>
        </w:rPr>
        <w:t xml:space="preserve">0 MHz </w:t>
      </w:r>
      <w:r>
        <w:rPr>
          <w:rFonts w:eastAsiaTheme="minorEastAsia"/>
          <w:lang w:eastAsia="ja-JP"/>
        </w:rPr>
        <w:t xml:space="preserve">frequency </w:t>
      </w:r>
      <w:r w:rsidR="001D2306">
        <w:rPr>
          <w:rFonts w:eastAsiaTheme="minorEastAsia"/>
          <w:lang w:eastAsia="ja-JP"/>
        </w:rPr>
        <w:t xml:space="preserve">band is </w:t>
      </w:r>
      <w:r>
        <w:rPr>
          <w:rFonts w:eastAsiaTheme="minorEastAsia"/>
          <w:lang w:eastAsia="ja-JP"/>
        </w:rPr>
        <w:t xml:space="preserve">one of </w:t>
      </w:r>
      <w:r w:rsidR="001D2306">
        <w:rPr>
          <w:rFonts w:eastAsiaTheme="minorEastAsia"/>
          <w:lang w:eastAsia="ja-JP"/>
        </w:rPr>
        <w:t>the most popular amateur band</w:t>
      </w:r>
      <w:r>
        <w:rPr>
          <w:rFonts w:eastAsiaTheme="minorEastAsia"/>
          <w:lang w:eastAsia="ja-JP"/>
        </w:rPr>
        <w:t>s</w:t>
      </w:r>
      <w:r w:rsidR="001D2306">
        <w:rPr>
          <w:rFonts w:eastAsiaTheme="minorEastAsia"/>
          <w:lang w:eastAsia="ja-JP"/>
        </w:rPr>
        <w:t xml:space="preserve"> in VHF range and a variety of usage includes relatively short-distance voice communications for beginners, intercontinental long-distance communications by eager specialists and even Earth-Moon-Earth communication by enthusiasts.</w:t>
      </w:r>
    </w:p>
    <w:p w14:paraId="6B08242C" w14:textId="77777777" w:rsidR="005A053C" w:rsidRPr="0088765E" w:rsidRDefault="005A053C" w:rsidP="00A6749C">
      <w:pPr>
        <w:jc w:val="both"/>
        <w:rPr>
          <w:rFonts w:eastAsiaTheme="minorEastAsia"/>
          <w:lang w:eastAsia="ja-JP"/>
        </w:rPr>
      </w:pPr>
    </w:p>
    <w:p w14:paraId="721A2FF4" w14:textId="186D7A38" w:rsidR="000A5418" w:rsidRPr="0088765E" w:rsidRDefault="007342EE" w:rsidP="00A64424">
      <w:pPr>
        <w:tabs>
          <w:tab w:val="left" w:pos="5901"/>
        </w:tabs>
        <w:jc w:val="both"/>
        <w:rPr>
          <w:rFonts w:eastAsiaTheme="minorEastAsia"/>
          <w:b/>
          <w:lang w:eastAsia="ja-JP"/>
        </w:rPr>
      </w:pPr>
      <w:r w:rsidRPr="0088765E">
        <w:rPr>
          <w:b/>
        </w:rPr>
        <w:t>3.</w:t>
      </w:r>
      <w:r w:rsidR="000A5418" w:rsidRPr="0088765E">
        <w:rPr>
          <w:b/>
        </w:rPr>
        <w:t xml:space="preserve">2 </w:t>
      </w:r>
      <w:r w:rsidR="00E312FE" w:rsidRPr="0088765E">
        <w:rPr>
          <w:b/>
        </w:rPr>
        <w:t>IARU v</w:t>
      </w:r>
      <w:r w:rsidR="000A5418" w:rsidRPr="0088765E">
        <w:rPr>
          <w:b/>
        </w:rPr>
        <w:t>iew</w:t>
      </w:r>
      <w:r w:rsidR="00E312FE" w:rsidRPr="0088765E">
        <w:rPr>
          <w:b/>
        </w:rPr>
        <w:t xml:space="preserve"> on agenda item 1.</w:t>
      </w:r>
      <w:r w:rsidR="003965AB">
        <w:rPr>
          <w:b/>
        </w:rPr>
        <w:t>12</w:t>
      </w:r>
    </w:p>
    <w:p w14:paraId="6A1DA4BA" w14:textId="77777777" w:rsidR="00351F44" w:rsidRPr="0088765E" w:rsidRDefault="00351F44" w:rsidP="00A6749C">
      <w:pPr>
        <w:jc w:val="both"/>
        <w:rPr>
          <w:rFonts w:eastAsiaTheme="minorEastAsia"/>
          <w:b/>
          <w:lang w:eastAsia="ja-JP"/>
        </w:rPr>
      </w:pPr>
    </w:p>
    <w:p w14:paraId="78911378" w14:textId="00F3A6F0" w:rsidR="00066BC8" w:rsidRPr="0088765E" w:rsidRDefault="003965AB" w:rsidP="003965AB">
      <w:pPr>
        <w:suppressAutoHyphens/>
        <w:jc w:val="both"/>
        <w:rPr>
          <w:rFonts w:eastAsia="Times New Roman"/>
          <w:kern w:val="2"/>
          <w:lang w:eastAsia="ar-SA"/>
        </w:rPr>
      </w:pPr>
      <w:r w:rsidRPr="003965AB">
        <w:rPr>
          <w:rFonts w:eastAsia="Times New Roman"/>
          <w:kern w:val="2"/>
          <w:lang w:eastAsia="ar-SA"/>
        </w:rPr>
        <w:t>The IARU believes that the studies for a possible new secondary allocation to the Earth</w:t>
      </w:r>
      <w:r w:rsidR="003905D5">
        <w:rPr>
          <w:rFonts w:eastAsia="Times New Roman"/>
          <w:kern w:val="2"/>
          <w:lang w:eastAsia="ar-SA"/>
        </w:rPr>
        <w:t xml:space="preserve"> </w:t>
      </w:r>
      <w:r w:rsidRPr="003965AB">
        <w:rPr>
          <w:rFonts w:eastAsia="Times New Roman"/>
          <w:kern w:val="2"/>
          <w:lang w:eastAsia="ar-SA"/>
        </w:rPr>
        <w:t>exploration-satellite (active) service for spaceborne radar sounders within the range of</w:t>
      </w:r>
      <w:r w:rsidR="003905D5">
        <w:rPr>
          <w:rFonts w:eastAsia="Times New Roman"/>
          <w:kern w:val="2"/>
          <w:lang w:eastAsia="ar-SA"/>
        </w:rPr>
        <w:t xml:space="preserve"> </w:t>
      </w:r>
      <w:r w:rsidRPr="003965AB">
        <w:rPr>
          <w:rFonts w:eastAsia="Times New Roman"/>
          <w:kern w:val="2"/>
          <w:lang w:eastAsia="ar-SA"/>
        </w:rPr>
        <w:t>frequencies around 45 MHz should include the need to protect the incumbent amateur service</w:t>
      </w:r>
      <w:r w:rsidR="003905D5">
        <w:rPr>
          <w:rFonts w:eastAsia="Times New Roman"/>
          <w:kern w:val="2"/>
          <w:lang w:eastAsia="ar-SA"/>
        </w:rPr>
        <w:t xml:space="preserve"> </w:t>
      </w:r>
      <w:r w:rsidRPr="003965AB">
        <w:rPr>
          <w:rFonts w:eastAsia="Times New Roman"/>
          <w:kern w:val="2"/>
          <w:lang w:eastAsia="ar-SA"/>
        </w:rPr>
        <w:t>in the adjacent 50-54 MHz band. The IARU will contribute to the studies to ensure adequate</w:t>
      </w:r>
      <w:r w:rsidR="003905D5">
        <w:rPr>
          <w:rFonts w:eastAsia="Times New Roman"/>
          <w:kern w:val="2"/>
          <w:lang w:eastAsia="ar-SA"/>
        </w:rPr>
        <w:t xml:space="preserve"> </w:t>
      </w:r>
      <w:r w:rsidRPr="003965AB">
        <w:rPr>
          <w:rFonts w:eastAsia="Times New Roman"/>
          <w:kern w:val="2"/>
          <w:lang w:eastAsia="ar-SA"/>
        </w:rPr>
        <w:t>protection of the sensitive receivers used by stations in the amateur service in the 50-54 MHz</w:t>
      </w:r>
      <w:r w:rsidR="003905D5">
        <w:rPr>
          <w:rFonts w:eastAsia="Times New Roman"/>
          <w:kern w:val="2"/>
          <w:lang w:eastAsia="ar-SA"/>
        </w:rPr>
        <w:t xml:space="preserve"> </w:t>
      </w:r>
      <w:r w:rsidRPr="003965AB">
        <w:rPr>
          <w:rFonts w:eastAsia="Times New Roman"/>
          <w:kern w:val="2"/>
          <w:lang w:eastAsia="ar-SA"/>
        </w:rPr>
        <w:t xml:space="preserve">band, especially the frequencies 50-50.5 MHz where </w:t>
      </w:r>
      <w:proofErr w:type="gramStart"/>
      <w:r w:rsidRPr="003965AB">
        <w:rPr>
          <w:rFonts w:eastAsia="Times New Roman"/>
          <w:kern w:val="2"/>
          <w:lang w:eastAsia="ar-SA"/>
        </w:rPr>
        <w:t>the majority of</w:t>
      </w:r>
      <w:proofErr w:type="gramEnd"/>
      <w:r w:rsidRPr="003965AB">
        <w:rPr>
          <w:rFonts w:eastAsia="Times New Roman"/>
          <w:kern w:val="2"/>
          <w:lang w:eastAsia="ar-SA"/>
        </w:rPr>
        <w:t xml:space="preserve"> amateur communication</w:t>
      </w:r>
      <w:r w:rsidR="003905D5">
        <w:rPr>
          <w:rFonts w:eastAsia="Times New Roman"/>
          <w:kern w:val="2"/>
          <w:lang w:eastAsia="ar-SA"/>
        </w:rPr>
        <w:t xml:space="preserve">s </w:t>
      </w:r>
      <w:r w:rsidRPr="003965AB">
        <w:rPr>
          <w:rFonts w:eastAsia="Times New Roman"/>
          <w:kern w:val="2"/>
          <w:lang w:eastAsia="ar-SA"/>
        </w:rPr>
        <w:t>via the ionosphere is conducted, often with very low signal levels.</w:t>
      </w:r>
    </w:p>
    <w:p w14:paraId="75ECC1FA" w14:textId="16DA8D6F" w:rsidR="00066BC8" w:rsidRDefault="00066BC8" w:rsidP="00A6749C">
      <w:pPr>
        <w:jc w:val="both"/>
      </w:pPr>
    </w:p>
    <w:p w14:paraId="5970874E" w14:textId="77777777" w:rsidR="00066BC8" w:rsidRPr="0088765E" w:rsidRDefault="00066BC8" w:rsidP="00A6749C">
      <w:pPr>
        <w:jc w:val="both"/>
      </w:pPr>
    </w:p>
    <w:p w14:paraId="578915AB" w14:textId="0E0E1214" w:rsidR="000A5418" w:rsidRPr="0088765E" w:rsidRDefault="007342EE" w:rsidP="00A6749C">
      <w:pPr>
        <w:jc w:val="both"/>
      </w:pPr>
      <w:r w:rsidRPr="0088765E">
        <w:rPr>
          <w:b/>
        </w:rPr>
        <w:t xml:space="preserve">4. </w:t>
      </w:r>
      <w:r w:rsidR="000A5418" w:rsidRPr="0088765E">
        <w:rPr>
          <w:b/>
        </w:rPr>
        <w:t xml:space="preserve">Agenda Item </w:t>
      </w:r>
      <w:r w:rsidR="00C05821" w:rsidRPr="0088765E">
        <w:rPr>
          <w:rFonts w:eastAsiaTheme="minorEastAsia"/>
          <w:b/>
          <w:lang w:eastAsia="ja-JP"/>
        </w:rPr>
        <w:t>1.1</w:t>
      </w:r>
      <w:r w:rsidR="003965AB">
        <w:rPr>
          <w:rFonts w:eastAsiaTheme="minorEastAsia"/>
          <w:b/>
          <w:lang w:eastAsia="ja-JP"/>
        </w:rPr>
        <w:t>4</w:t>
      </w:r>
      <w:r w:rsidR="000A5418" w:rsidRPr="0088765E">
        <w:rPr>
          <w:b/>
        </w:rPr>
        <w:t xml:space="preserve">: </w:t>
      </w:r>
    </w:p>
    <w:p w14:paraId="4111145E" w14:textId="075BDF3F" w:rsidR="00DE5771" w:rsidRPr="0088765E" w:rsidRDefault="003965AB" w:rsidP="003965AB">
      <w:pPr>
        <w:spacing w:after="111" w:line="248" w:lineRule="auto"/>
        <w:ind w:right="13"/>
        <w:jc w:val="both"/>
        <w:rPr>
          <w:rFonts w:eastAsia="Times New Roman"/>
          <w:b/>
          <w:i/>
        </w:rPr>
      </w:pPr>
      <w:r w:rsidRPr="003965AB">
        <w:rPr>
          <w:rFonts w:eastAsia="Times New Roman"/>
          <w:b/>
          <w:i/>
        </w:rPr>
        <w:t>to review and consider possible adjustments of the existing or possible new primary</w:t>
      </w:r>
      <w:r w:rsidR="001D2306">
        <w:rPr>
          <w:rFonts w:eastAsia="Times New Roman"/>
          <w:b/>
          <w:i/>
        </w:rPr>
        <w:t xml:space="preserve"> </w:t>
      </w:r>
      <w:r w:rsidRPr="003965AB">
        <w:rPr>
          <w:rFonts w:eastAsia="Times New Roman"/>
          <w:b/>
          <w:i/>
        </w:rPr>
        <w:t>frequency allocations to EESS (passive) in the frequency range 231.5-252 GHz, to ensure</w:t>
      </w:r>
      <w:r w:rsidR="001D2306">
        <w:rPr>
          <w:rFonts w:eastAsia="Times New Roman"/>
          <w:b/>
          <w:i/>
        </w:rPr>
        <w:t xml:space="preserve"> </w:t>
      </w:r>
      <w:r w:rsidRPr="003965AB">
        <w:rPr>
          <w:rFonts w:eastAsia="Times New Roman"/>
          <w:b/>
          <w:i/>
        </w:rPr>
        <w:t>alignment with more up-to-date remote-sensing observation requirements, in accordance with</w:t>
      </w:r>
      <w:r w:rsidR="001D2306">
        <w:rPr>
          <w:rFonts w:eastAsia="Times New Roman"/>
          <w:b/>
          <w:i/>
        </w:rPr>
        <w:t xml:space="preserve"> </w:t>
      </w:r>
      <w:r w:rsidRPr="003965AB">
        <w:rPr>
          <w:rFonts w:eastAsia="Times New Roman"/>
          <w:b/>
          <w:i/>
        </w:rPr>
        <w:t>Resolution 662 (WRC-19)</w:t>
      </w:r>
    </w:p>
    <w:p w14:paraId="47472C6B" w14:textId="77777777" w:rsidR="000A5418" w:rsidRPr="0088765E" w:rsidRDefault="000A5418" w:rsidP="00A6749C">
      <w:pPr>
        <w:jc w:val="both"/>
      </w:pPr>
    </w:p>
    <w:p w14:paraId="107FEFA6" w14:textId="460AB513" w:rsidR="000A5418" w:rsidRPr="0088765E" w:rsidRDefault="007342EE" w:rsidP="00A6749C">
      <w:pPr>
        <w:spacing w:after="120"/>
        <w:jc w:val="both"/>
        <w:rPr>
          <w:b/>
          <w:lang w:eastAsia="ko-KR"/>
        </w:rPr>
      </w:pPr>
      <w:r w:rsidRPr="0088765E">
        <w:rPr>
          <w:b/>
          <w:lang w:eastAsia="ko-KR"/>
        </w:rPr>
        <w:t>4.</w:t>
      </w:r>
      <w:r w:rsidR="000A5418" w:rsidRPr="0088765E">
        <w:rPr>
          <w:b/>
          <w:lang w:eastAsia="ko-KR"/>
        </w:rPr>
        <w:t>1 Background</w:t>
      </w:r>
    </w:p>
    <w:p w14:paraId="478B3EF4" w14:textId="6A903260" w:rsidR="004760F4" w:rsidRDefault="004760F4" w:rsidP="00A6749C">
      <w:pPr>
        <w:jc w:val="both"/>
        <w:rPr>
          <w:rFonts w:eastAsiaTheme="minorEastAsia"/>
          <w:lang w:eastAsia="ja-JP"/>
        </w:rPr>
      </w:pPr>
    </w:p>
    <w:p w14:paraId="38E97972" w14:textId="495C63E1" w:rsidR="001D2306" w:rsidRDefault="00C43726" w:rsidP="00C43726">
      <w:pPr>
        <w:jc w:val="both"/>
        <w:rPr>
          <w:rFonts w:eastAsiaTheme="minorEastAsia"/>
          <w:lang w:eastAsia="ja-JP"/>
        </w:rPr>
      </w:pPr>
      <w:r w:rsidRPr="00C43726">
        <w:rPr>
          <w:rFonts w:eastAsiaTheme="minorEastAsia"/>
          <w:lang w:eastAsia="ja-JP"/>
        </w:rPr>
        <w:t>Both the amateur and the amateur-satellite services have a secondary allocation from 241</w:t>
      </w:r>
      <w:r w:rsidR="003905D5">
        <w:rPr>
          <w:rFonts w:eastAsiaTheme="minorEastAsia"/>
          <w:lang w:eastAsia="ja-JP"/>
        </w:rPr>
        <w:t xml:space="preserve"> </w:t>
      </w:r>
      <w:r w:rsidRPr="00C43726">
        <w:rPr>
          <w:rFonts w:eastAsiaTheme="minorEastAsia"/>
          <w:lang w:eastAsia="ja-JP"/>
        </w:rPr>
        <w:t>GHz to 248 GHz and a primary allocation from 248 GHz to 250 GHz.</w:t>
      </w:r>
    </w:p>
    <w:p w14:paraId="79B7460C" w14:textId="07072CA1" w:rsidR="00C43726" w:rsidRDefault="00C43726" w:rsidP="00C43726">
      <w:pPr>
        <w:jc w:val="both"/>
        <w:rPr>
          <w:rFonts w:eastAsiaTheme="minorEastAsia"/>
          <w:lang w:eastAsia="ja-JP"/>
        </w:rPr>
      </w:pPr>
    </w:p>
    <w:p w14:paraId="3947D01D" w14:textId="1E116F34" w:rsidR="00C43726" w:rsidRDefault="00C43726" w:rsidP="00C43726">
      <w:pPr>
        <w:jc w:val="both"/>
        <w:rPr>
          <w:rFonts w:eastAsiaTheme="minorEastAsia"/>
          <w:lang w:eastAsia="ja-JP"/>
        </w:rPr>
      </w:pPr>
      <w:r w:rsidRPr="00C43726">
        <w:rPr>
          <w:rFonts w:eastAsiaTheme="minorEastAsia"/>
          <w:lang w:eastAsia="ja-JP"/>
        </w:rPr>
        <w:t>The allocations</w:t>
      </w:r>
      <w:r w:rsidR="003905D5">
        <w:rPr>
          <w:rFonts w:eastAsiaTheme="minorEastAsia"/>
          <w:lang w:eastAsia="ja-JP"/>
        </w:rPr>
        <w:t xml:space="preserve"> </w:t>
      </w:r>
      <w:r w:rsidRPr="00C43726">
        <w:rPr>
          <w:rFonts w:eastAsiaTheme="minorEastAsia"/>
          <w:lang w:eastAsia="ja-JP"/>
        </w:rPr>
        <w:t xml:space="preserve">have been used </w:t>
      </w:r>
      <w:r w:rsidR="00DA7FF8">
        <w:rPr>
          <w:rFonts w:eastAsiaTheme="minorEastAsia" w:hint="eastAsia"/>
          <w:lang w:eastAsia="ja-JP"/>
        </w:rPr>
        <w:t>by</w:t>
      </w:r>
      <w:r w:rsidR="00DA7FF8">
        <w:rPr>
          <w:rFonts w:eastAsiaTheme="minorEastAsia"/>
          <w:lang w:eastAsia="ja-JP"/>
        </w:rPr>
        <w:t xml:space="preserve"> amateurs </w:t>
      </w:r>
      <w:r w:rsidRPr="00C43726">
        <w:rPr>
          <w:rFonts w:eastAsiaTheme="minorEastAsia"/>
          <w:lang w:eastAsia="ja-JP"/>
        </w:rPr>
        <w:t>for terrestrial propagation experiments; communication over paths as long as114 km has been achieved. No amateur satellites have utilized the allocation yet.</w:t>
      </w:r>
    </w:p>
    <w:p w14:paraId="3B3D00D3" w14:textId="77777777" w:rsidR="003965AB" w:rsidRPr="0088765E" w:rsidRDefault="003965AB" w:rsidP="00A6749C">
      <w:pPr>
        <w:jc w:val="both"/>
        <w:rPr>
          <w:rFonts w:eastAsiaTheme="minorEastAsia"/>
          <w:lang w:eastAsia="ja-JP"/>
        </w:rPr>
      </w:pPr>
    </w:p>
    <w:p w14:paraId="30E13934" w14:textId="1EA07B19" w:rsidR="000A5418" w:rsidRPr="0088765E" w:rsidRDefault="007342EE" w:rsidP="00A6749C">
      <w:pPr>
        <w:jc w:val="both"/>
        <w:rPr>
          <w:b/>
        </w:rPr>
      </w:pPr>
      <w:r w:rsidRPr="0088765E">
        <w:rPr>
          <w:b/>
        </w:rPr>
        <w:t>4.</w:t>
      </w:r>
      <w:r w:rsidR="000A5418" w:rsidRPr="0088765E">
        <w:rPr>
          <w:b/>
        </w:rPr>
        <w:t xml:space="preserve">2 </w:t>
      </w:r>
      <w:r w:rsidR="00E312FE" w:rsidRPr="0088765E">
        <w:rPr>
          <w:b/>
        </w:rPr>
        <w:t>IARU</w:t>
      </w:r>
      <w:r w:rsidR="00E22F01" w:rsidRPr="0088765E">
        <w:rPr>
          <w:rFonts w:eastAsiaTheme="minorEastAsia"/>
          <w:b/>
          <w:lang w:eastAsia="ja-JP"/>
        </w:rPr>
        <w:t xml:space="preserve"> </w:t>
      </w:r>
      <w:r w:rsidR="00E312FE" w:rsidRPr="0088765E">
        <w:rPr>
          <w:b/>
        </w:rPr>
        <w:t>v</w:t>
      </w:r>
      <w:r w:rsidR="000A5418" w:rsidRPr="0088765E">
        <w:rPr>
          <w:b/>
        </w:rPr>
        <w:t>iew</w:t>
      </w:r>
      <w:r w:rsidR="00E312FE" w:rsidRPr="0088765E">
        <w:rPr>
          <w:b/>
        </w:rPr>
        <w:t xml:space="preserve"> on agenda item 1.1</w:t>
      </w:r>
      <w:r w:rsidR="003965AB">
        <w:rPr>
          <w:b/>
        </w:rPr>
        <w:t>4</w:t>
      </w:r>
    </w:p>
    <w:p w14:paraId="0DC010A4" w14:textId="77777777" w:rsidR="00DF6A1A" w:rsidRPr="0088765E" w:rsidRDefault="00DF6A1A" w:rsidP="00A6749C">
      <w:pPr>
        <w:widowControl w:val="0"/>
        <w:autoSpaceDE w:val="0"/>
        <w:autoSpaceDN w:val="0"/>
        <w:adjustRightInd w:val="0"/>
        <w:jc w:val="both"/>
        <w:rPr>
          <w:rFonts w:eastAsiaTheme="minorEastAsia"/>
          <w:lang w:eastAsia="ja-JP"/>
        </w:rPr>
      </w:pPr>
    </w:p>
    <w:p w14:paraId="642154BB" w14:textId="726D1374" w:rsidR="003965AB" w:rsidRPr="003965AB" w:rsidRDefault="003965AB" w:rsidP="003965AB">
      <w:pPr>
        <w:rPr>
          <w:rFonts w:eastAsia="Times New Roman"/>
          <w:kern w:val="2"/>
          <w:lang w:eastAsia="ar-SA"/>
        </w:rPr>
      </w:pPr>
      <w:r w:rsidRPr="003965AB">
        <w:rPr>
          <w:rFonts w:eastAsia="Times New Roman"/>
          <w:kern w:val="2"/>
          <w:lang w:eastAsia="ar-SA"/>
        </w:rPr>
        <w:t>The IARU supports retention of the 248-250 GHz primary allocations and the 241 – 248 GHz</w:t>
      </w:r>
      <w:r w:rsidR="003905D5">
        <w:rPr>
          <w:rFonts w:eastAsia="Times New Roman"/>
          <w:kern w:val="2"/>
          <w:lang w:eastAsia="ar-SA"/>
        </w:rPr>
        <w:t xml:space="preserve"> </w:t>
      </w:r>
      <w:r w:rsidRPr="003965AB">
        <w:rPr>
          <w:rFonts w:eastAsia="Times New Roman"/>
          <w:kern w:val="2"/>
          <w:lang w:eastAsia="ar-SA"/>
        </w:rPr>
        <w:t>secondary allocations to the amateur and amateur-satellite services.</w:t>
      </w:r>
    </w:p>
    <w:p w14:paraId="7A9D1598" w14:textId="37EAED7A" w:rsidR="00B60C81" w:rsidRPr="0088765E" w:rsidRDefault="003965AB" w:rsidP="003965AB">
      <w:r w:rsidRPr="003965AB">
        <w:rPr>
          <w:rFonts w:eastAsia="Times New Roman"/>
          <w:kern w:val="2"/>
          <w:lang w:eastAsia="ar-SA"/>
        </w:rPr>
        <w:t>Within this frequency range there is ongoing experimentation by amateur service stations,</w:t>
      </w:r>
      <w:r w:rsidR="003905D5">
        <w:rPr>
          <w:rFonts w:eastAsia="Times New Roman"/>
          <w:kern w:val="2"/>
          <w:lang w:eastAsia="ar-SA"/>
        </w:rPr>
        <w:t xml:space="preserve"> </w:t>
      </w:r>
      <w:r w:rsidRPr="003965AB">
        <w:rPr>
          <w:rFonts w:eastAsia="Times New Roman"/>
          <w:kern w:val="2"/>
          <w:lang w:eastAsia="ar-SA"/>
        </w:rPr>
        <w:t>which is expected to grow as technology and equipment availability improves. Any</w:t>
      </w:r>
      <w:r w:rsidR="00C43726">
        <w:rPr>
          <w:rFonts w:eastAsia="Times New Roman"/>
          <w:kern w:val="2"/>
          <w:lang w:eastAsia="ar-SA"/>
        </w:rPr>
        <w:t xml:space="preserve"> </w:t>
      </w:r>
      <w:r w:rsidR="003905D5">
        <w:rPr>
          <w:rFonts w:eastAsia="Times New Roman"/>
          <w:kern w:val="2"/>
          <w:lang w:eastAsia="ar-SA"/>
        </w:rPr>
        <w:t>i</w:t>
      </w:r>
      <w:r w:rsidRPr="003965AB">
        <w:rPr>
          <w:rFonts w:eastAsia="Times New Roman"/>
          <w:kern w:val="2"/>
          <w:lang w:eastAsia="ar-SA"/>
        </w:rPr>
        <w:t>ntroduction of EESS into the 241-250 GHz frequency range should not unduly constrain the</w:t>
      </w:r>
      <w:r w:rsidR="003905D5">
        <w:rPr>
          <w:rFonts w:eastAsia="Times New Roman"/>
          <w:kern w:val="2"/>
          <w:lang w:eastAsia="ar-SA"/>
        </w:rPr>
        <w:t xml:space="preserve"> </w:t>
      </w:r>
      <w:r w:rsidRPr="003965AB">
        <w:rPr>
          <w:rFonts w:eastAsia="Times New Roman"/>
          <w:kern w:val="2"/>
          <w:lang w:eastAsia="ar-SA"/>
        </w:rPr>
        <w:t>ongoing experimental use by the amateur and amateur satellite services in their secondary</w:t>
      </w:r>
      <w:r w:rsidR="003905D5">
        <w:rPr>
          <w:rFonts w:eastAsia="Times New Roman"/>
          <w:kern w:val="2"/>
          <w:lang w:eastAsia="ar-SA"/>
        </w:rPr>
        <w:t xml:space="preserve"> </w:t>
      </w:r>
      <w:r w:rsidRPr="003965AB">
        <w:rPr>
          <w:rFonts w:eastAsia="Times New Roman"/>
          <w:kern w:val="2"/>
          <w:lang w:eastAsia="ar-SA"/>
        </w:rPr>
        <w:t>and primary allocations or their future development.</w:t>
      </w:r>
    </w:p>
    <w:p w14:paraId="06D4BCE9" w14:textId="39893AA2" w:rsidR="00B60C81" w:rsidRDefault="00B60C81" w:rsidP="00A6749C">
      <w:pPr>
        <w:suppressAutoHyphens/>
        <w:jc w:val="both"/>
        <w:rPr>
          <w:rFonts w:eastAsia="Times New Roman"/>
          <w:kern w:val="2"/>
          <w:lang w:eastAsia="ar-SA"/>
        </w:rPr>
      </w:pPr>
    </w:p>
    <w:p w14:paraId="609B3A08" w14:textId="77777777" w:rsidR="00C43726" w:rsidRPr="0088765E" w:rsidRDefault="00C43726" w:rsidP="00A6749C">
      <w:pPr>
        <w:suppressAutoHyphens/>
        <w:jc w:val="both"/>
        <w:rPr>
          <w:rFonts w:eastAsia="Times New Roman"/>
          <w:kern w:val="2"/>
          <w:lang w:eastAsia="ar-SA"/>
        </w:rPr>
      </w:pPr>
    </w:p>
    <w:p w14:paraId="634FC877" w14:textId="676725EB" w:rsidR="00103073" w:rsidRPr="0088765E" w:rsidRDefault="007342EE" w:rsidP="00A6749C">
      <w:pPr>
        <w:jc w:val="both"/>
      </w:pPr>
      <w:r w:rsidRPr="0088765E">
        <w:rPr>
          <w:b/>
        </w:rPr>
        <w:t xml:space="preserve">5. </w:t>
      </w:r>
      <w:r w:rsidR="00103073" w:rsidRPr="0088765E">
        <w:rPr>
          <w:b/>
        </w:rPr>
        <w:t xml:space="preserve">Agenda Item </w:t>
      </w:r>
      <w:r w:rsidR="00103073" w:rsidRPr="0088765E">
        <w:rPr>
          <w:rFonts w:eastAsiaTheme="minorEastAsia"/>
          <w:b/>
          <w:lang w:eastAsia="ja-JP"/>
        </w:rPr>
        <w:t>1.1</w:t>
      </w:r>
      <w:r w:rsidR="003965AB">
        <w:rPr>
          <w:rFonts w:eastAsiaTheme="minorEastAsia"/>
          <w:b/>
          <w:lang w:eastAsia="ja-JP"/>
        </w:rPr>
        <w:t>8</w:t>
      </w:r>
      <w:r w:rsidR="00103073" w:rsidRPr="0088765E">
        <w:rPr>
          <w:b/>
        </w:rPr>
        <w:t xml:space="preserve">: </w:t>
      </w:r>
    </w:p>
    <w:p w14:paraId="06CA55CD" w14:textId="34115AAB" w:rsidR="00103073" w:rsidRPr="0088765E" w:rsidRDefault="003965AB" w:rsidP="003965AB">
      <w:pPr>
        <w:pStyle w:val="PlainText"/>
        <w:jc w:val="both"/>
        <w:rPr>
          <w:rFonts w:ascii="Times New Roman" w:eastAsia="SimSun" w:hAnsi="Times New Roman" w:cs="Times New Roman"/>
          <w:b/>
          <w:bCs/>
          <w:i/>
          <w:sz w:val="24"/>
          <w:szCs w:val="24"/>
          <w:lang w:eastAsia="zh-CN"/>
        </w:rPr>
      </w:pPr>
      <w:r w:rsidRPr="003965AB">
        <w:rPr>
          <w:rFonts w:ascii="Times New Roman" w:hAnsi="Times New Roman" w:cs="Times New Roman"/>
          <w:b/>
          <w:i/>
          <w:sz w:val="24"/>
          <w:szCs w:val="24"/>
        </w:rPr>
        <w:lastRenderedPageBreak/>
        <w:t>to consider studies relating to spectrum needs and potential new allocations to the</w:t>
      </w:r>
      <w:r w:rsidR="00C43726">
        <w:rPr>
          <w:rFonts w:ascii="Times New Roman" w:hAnsi="Times New Roman" w:cs="Times New Roman"/>
          <w:b/>
          <w:i/>
          <w:sz w:val="24"/>
          <w:szCs w:val="24"/>
        </w:rPr>
        <w:t xml:space="preserve"> </w:t>
      </w:r>
      <w:r w:rsidRPr="003965AB">
        <w:rPr>
          <w:rFonts w:ascii="Times New Roman" w:hAnsi="Times New Roman" w:cs="Times New Roman"/>
          <w:b/>
          <w:i/>
          <w:sz w:val="24"/>
          <w:szCs w:val="24"/>
        </w:rPr>
        <w:t>mobile-satellite service for future development of narrowband mobile-satellite systems, in</w:t>
      </w:r>
      <w:r w:rsidR="00C43726">
        <w:rPr>
          <w:rFonts w:ascii="Times New Roman" w:hAnsi="Times New Roman" w:cs="Times New Roman"/>
          <w:b/>
          <w:i/>
          <w:sz w:val="24"/>
          <w:szCs w:val="24"/>
        </w:rPr>
        <w:t xml:space="preserve"> </w:t>
      </w:r>
      <w:r w:rsidRPr="003965AB">
        <w:rPr>
          <w:rFonts w:ascii="Times New Roman" w:hAnsi="Times New Roman" w:cs="Times New Roman"/>
          <w:b/>
          <w:i/>
          <w:sz w:val="24"/>
          <w:szCs w:val="24"/>
        </w:rPr>
        <w:t>accordance with Resolution 248 (WRC-19</w:t>
      </w:r>
      <w:r w:rsidR="00103073" w:rsidRPr="0088765E">
        <w:rPr>
          <w:rFonts w:ascii="Times New Roman" w:eastAsia="SimSun" w:hAnsi="Times New Roman" w:cs="Times New Roman"/>
          <w:b/>
          <w:bCs/>
          <w:i/>
          <w:sz w:val="24"/>
          <w:szCs w:val="24"/>
          <w:lang w:eastAsia="zh-CN"/>
        </w:rPr>
        <w:t>)</w:t>
      </w:r>
    </w:p>
    <w:p w14:paraId="1B4A4169" w14:textId="77777777" w:rsidR="00103073" w:rsidRPr="0088765E" w:rsidRDefault="00103073" w:rsidP="00A6749C">
      <w:pPr>
        <w:jc w:val="both"/>
      </w:pPr>
    </w:p>
    <w:p w14:paraId="54492062" w14:textId="15944443" w:rsidR="00C43726" w:rsidRDefault="00B722D1" w:rsidP="00A6749C">
      <w:pPr>
        <w:spacing w:after="120"/>
        <w:jc w:val="both"/>
        <w:rPr>
          <w:rFonts w:eastAsiaTheme="minorEastAsia"/>
          <w:bCs/>
          <w:lang w:eastAsia="ja-JP"/>
        </w:rPr>
      </w:pPr>
      <w:r>
        <w:rPr>
          <w:rFonts w:eastAsiaTheme="minorEastAsia"/>
          <w:bCs/>
          <w:lang w:eastAsia="ja-JP"/>
        </w:rPr>
        <w:t>Frequency bands to be studied</w:t>
      </w:r>
      <w:r>
        <w:rPr>
          <w:rFonts w:eastAsiaTheme="minorEastAsia"/>
          <w:lang w:eastAsia="ja-JP"/>
        </w:rPr>
        <w:t xml:space="preserve"> </w:t>
      </w:r>
      <w:r w:rsidR="00F6280D">
        <w:rPr>
          <w:rFonts w:eastAsiaTheme="minorEastAsia"/>
          <w:lang w:eastAsia="ja-JP"/>
        </w:rPr>
        <w:t>in this agenda item</w:t>
      </w:r>
      <w:r w:rsidR="00C43726">
        <w:rPr>
          <w:rFonts w:eastAsiaTheme="minorEastAsia"/>
          <w:bCs/>
          <w:lang w:eastAsia="ja-JP"/>
        </w:rPr>
        <w:t>:</w:t>
      </w:r>
    </w:p>
    <w:p w14:paraId="51E90685" w14:textId="02D539F1" w:rsidR="00C43726" w:rsidRDefault="00C43726" w:rsidP="00C43726">
      <w:pPr>
        <w:spacing w:after="120"/>
        <w:ind w:leftChars="100" w:left="240"/>
        <w:jc w:val="both"/>
        <w:rPr>
          <w:rFonts w:eastAsiaTheme="minorEastAsia"/>
          <w:bCs/>
          <w:lang w:eastAsia="ja-JP"/>
        </w:rPr>
      </w:pPr>
      <w:r>
        <w:rPr>
          <w:rFonts w:eastAsiaTheme="minorEastAsia" w:hint="eastAsia"/>
          <w:bCs/>
          <w:lang w:eastAsia="ja-JP"/>
        </w:rPr>
        <w:t>1</w:t>
      </w:r>
      <w:r>
        <w:rPr>
          <w:rFonts w:eastAsiaTheme="minorEastAsia"/>
          <w:bCs/>
          <w:lang w:eastAsia="ja-JP"/>
        </w:rPr>
        <w:t xml:space="preserve"> 695-1 710 MHz (Region 2)</w:t>
      </w:r>
    </w:p>
    <w:p w14:paraId="491C862D" w14:textId="79D51812" w:rsidR="00C43726" w:rsidRDefault="00C43726" w:rsidP="00C43726">
      <w:pPr>
        <w:spacing w:after="120"/>
        <w:ind w:leftChars="100" w:left="240"/>
        <w:jc w:val="both"/>
        <w:rPr>
          <w:rFonts w:eastAsiaTheme="minorEastAsia"/>
          <w:bCs/>
          <w:lang w:eastAsia="ja-JP"/>
        </w:rPr>
      </w:pPr>
      <w:r>
        <w:rPr>
          <w:rFonts w:eastAsiaTheme="minorEastAsia" w:hint="eastAsia"/>
          <w:bCs/>
          <w:lang w:eastAsia="ja-JP"/>
        </w:rPr>
        <w:t>2</w:t>
      </w:r>
      <w:r>
        <w:rPr>
          <w:rFonts w:eastAsiaTheme="minorEastAsia"/>
          <w:bCs/>
          <w:lang w:eastAsia="ja-JP"/>
        </w:rPr>
        <w:t xml:space="preserve"> 010-2 025 MHz (Region 1)</w:t>
      </w:r>
    </w:p>
    <w:p w14:paraId="204FC1CC" w14:textId="00447024" w:rsidR="00C43726" w:rsidRDefault="00C43726" w:rsidP="00C43726">
      <w:pPr>
        <w:spacing w:after="120"/>
        <w:ind w:leftChars="100" w:left="240"/>
        <w:jc w:val="both"/>
        <w:rPr>
          <w:rFonts w:eastAsiaTheme="minorEastAsia"/>
          <w:bCs/>
          <w:lang w:eastAsia="ja-JP"/>
        </w:rPr>
      </w:pPr>
      <w:r>
        <w:rPr>
          <w:rFonts w:eastAsiaTheme="minorEastAsia" w:hint="eastAsia"/>
          <w:bCs/>
          <w:lang w:eastAsia="ja-JP"/>
        </w:rPr>
        <w:t>3</w:t>
      </w:r>
      <w:r>
        <w:rPr>
          <w:rFonts w:eastAsiaTheme="minorEastAsia"/>
          <w:bCs/>
          <w:lang w:eastAsia="ja-JP"/>
        </w:rPr>
        <w:t xml:space="preserve"> 300-3 315 MHz and 3 385-3 400 MHz (Region 2)</w:t>
      </w:r>
    </w:p>
    <w:p w14:paraId="5C8ECB66" w14:textId="77777777" w:rsidR="00C43726" w:rsidRDefault="00C43726" w:rsidP="00C43726">
      <w:pPr>
        <w:spacing w:after="120"/>
        <w:ind w:leftChars="100" w:left="240"/>
        <w:jc w:val="both"/>
        <w:rPr>
          <w:b/>
          <w:lang w:eastAsia="ko-KR"/>
        </w:rPr>
      </w:pPr>
    </w:p>
    <w:p w14:paraId="0ABC2BDE" w14:textId="32487225" w:rsidR="00103073" w:rsidRPr="0088765E" w:rsidRDefault="007342EE" w:rsidP="00A6749C">
      <w:pPr>
        <w:spacing w:after="120"/>
        <w:jc w:val="both"/>
        <w:rPr>
          <w:b/>
          <w:lang w:eastAsia="ko-KR"/>
        </w:rPr>
      </w:pPr>
      <w:r w:rsidRPr="0088765E">
        <w:rPr>
          <w:b/>
          <w:lang w:eastAsia="ko-KR"/>
        </w:rPr>
        <w:t>5.</w:t>
      </w:r>
      <w:r w:rsidR="00103073" w:rsidRPr="0088765E">
        <w:rPr>
          <w:b/>
          <w:lang w:eastAsia="ko-KR"/>
        </w:rPr>
        <w:t>1 Background</w:t>
      </w:r>
    </w:p>
    <w:p w14:paraId="6A9713C1" w14:textId="18D02764" w:rsidR="00D9317F" w:rsidRDefault="00D9317F" w:rsidP="00A6749C">
      <w:pPr>
        <w:suppressAutoHyphens/>
        <w:jc w:val="both"/>
        <w:rPr>
          <w:rFonts w:eastAsia="Times New Roman"/>
          <w:kern w:val="1"/>
          <w:lang w:eastAsia="ar-SA"/>
        </w:rPr>
      </w:pPr>
    </w:p>
    <w:p w14:paraId="422BC607" w14:textId="77777777" w:rsidR="00C43726" w:rsidRPr="00C43726" w:rsidRDefault="00C43726" w:rsidP="00C43726">
      <w:pPr>
        <w:suppressAutoHyphens/>
        <w:jc w:val="both"/>
        <w:rPr>
          <w:rFonts w:eastAsia="Times New Roman"/>
          <w:kern w:val="1"/>
          <w:lang w:eastAsia="ar-SA"/>
        </w:rPr>
      </w:pPr>
      <w:r w:rsidRPr="00C43726">
        <w:rPr>
          <w:rFonts w:eastAsia="Times New Roman"/>
          <w:kern w:val="1"/>
          <w:lang w:eastAsia="ar-SA"/>
        </w:rPr>
        <w:t>The amateur service has a secondary allocation in 3 300-3 400 MHz in Region 2 and 3.</w:t>
      </w:r>
    </w:p>
    <w:p w14:paraId="0483F5EF" w14:textId="6D71E628" w:rsidR="00C43726" w:rsidRDefault="00C43726" w:rsidP="00C43726">
      <w:pPr>
        <w:suppressAutoHyphens/>
        <w:jc w:val="both"/>
        <w:rPr>
          <w:rFonts w:eastAsia="Times New Roman"/>
          <w:kern w:val="1"/>
          <w:lang w:eastAsia="ar-SA"/>
        </w:rPr>
      </w:pPr>
    </w:p>
    <w:p w14:paraId="7380633A" w14:textId="54682E2D" w:rsidR="00C43726" w:rsidRDefault="00C43726" w:rsidP="00C43726">
      <w:pPr>
        <w:suppressAutoHyphens/>
        <w:jc w:val="both"/>
        <w:rPr>
          <w:rFonts w:eastAsia="Times New Roman"/>
          <w:kern w:val="1"/>
          <w:lang w:eastAsia="ar-SA"/>
        </w:rPr>
      </w:pPr>
      <w:r>
        <w:rPr>
          <w:rFonts w:eastAsia="Times New Roman"/>
          <w:kern w:val="1"/>
          <w:lang w:eastAsia="ar-SA"/>
        </w:rPr>
        <w:t>A</w:t>
      </w:r>
      <w:r w:rsidRPr="00C43726">
        <w:rPr>
          <w:rFonts w:eastAsia="Times New Roman"/>
          <w:kern w:val="1"/>
          <w:lang w:eastAsia="ar-SA"/>
        </w:rPr>
        <w:t>mateur activity in the 3 300-3 400 MHz segment is</w:t>
      </w:r>
      <w:r w:rsidRPr="00F6280D">
        <w:rPr>
          <w:rFonts w:eastAsia="Times New Roman"/>
          <w:kern w:val="1"/>
          <w:lang w:eastAsia="ar-SA"/>
        </w:rPr>
        <w:t xml:space="preserve"> </w:t>
      </w:r>
      <w:r w:rsidR="00F6280D" w:rsidRPr="000A79E4">
        <w:rPr>
          <w:rFonts w:eastAsia="MS Mincho"/>
          <w:kern w:val="1"/>
          <w:lang w:eastAsia="ar-SA"/>
        </w:rPr>
        <w:t xml:space="preserve">conducted </w:t>
      </w:r>
      <w:r w:rsidRPr="00C43726">
        <w:rPr>
          <w:rFonts w:eastAsia="Times New Roman"/>
          <w:kern w:val="1"/>
          <w:lang w:eastAsia="ar-SA"/>
        </w:rPr>
        <w:t xml:space="preserve">mainly </w:t>
      </w:r>
      <w:r w:rsidR="008433FD">
        <w:rPr>
          <w:rFonts w:eastAsia="Times New Roman"/>
          <w:kern w:val="1"/>
          <w:lang w:eastAsia="ar-SA"/>
        </w:rPr>
        <w:t xml:space="preserve">in </w:t>
      </w:r>
      <w:r w:rsidRPr="00C43726">
        <w:rPr>
          <w:rFonts w:eastAsia="Times New Roman"/>
          <w:kern w:val="1"/>
          <w:lang w:eastAsia="ar-SA"/>
        </w:rPr>
        <w:t>low-power, point-to-point, broadband digital</w:t>
      </w:r>
      <w:r>
        <w:rPr>
          <w:rFonts w:eastAsia="Times New Roman"/>
          <w:kern w:val="1"/>
          <w:lang w:eastAsia="ar-SA"/>
        </w:rPr>
        <w:t xml:space="preserve"> </w:t>
      </w:r>
      <w:r w:rsidRPr="00C43726">
        <w:rPr>
          <w:rFonts w:eastAsia="Times New Roman"/>
          <w:kern w:val="1"/>
          <w:lang w:eastAsia="ar-SA"/>
        </w:rPr>
        <w:t>links.</w:t>
      </w:r>
    </w:p>
    <w:p w14:paraId="5D48DEDE" w14:textId="77777777" w:rsidR="003965AB" w:rsidRPr="0088765E" w:rsidRDefault="003965AB" w:rsidP="00A6749C">
      <w:pPr>
        <w:suppressAutoHyphens/>
        <w:jc w:val="both"/>
        <w:rPr>
          <w:rFonts w:eastAsia="Times New Roman"/>
          <w:kern w:val="1"/>
          <w:lang w:eastAsia="ar-SA"/>
        </w:rPr>
      </w:pPr>
    </w:p>
    <w:p w14:paraId="5700043A" w14:textId="03506DC5" w:rsidR="008E58DF" w:rsidRPr="0088765E" w:rsidRDefault="007342EE" w:rsidP="00A6749C">
      <w:pPr>
        <w:jc w:val="both"/>
        <w:rPr>
          <w:rFonts w:eastAsiaTheme="minorEastAsia"/>
          <w:b/>
          <w:lang w:eastAsia="ja-JP"/>
        </w:rPr>
      </w:pPr>
      <w:r w:rsidRPr="0088765E">
        <w:rPr>
          <w:b/>
        </w:rPr>
        <w:t>5.2</w:t>
      </w:r>
      <w:r w:rsidR="00103073" w:rsidRPr="0088765E">
        <w:rPr>
          <w:b/>
        </w:rPr>
        <w:t xml:space="preserve"> </w:t>
      </w:r>
      <w:r w:rsidR="00E312FE" w:rsidRPr="0088765E">
        <w:rPr>
          <w:b/>
        </w:rPr>
        <w:t>IARU v</w:t>
      </w:r>
      <w:r w:rsidR="00103073" w:rsidRPr="0088765E">
        <w:rPr>
          <w:b/>
        </w:rPr>
        <w:t>iew</w:t>
      </w:r>
      <w:r w:rsidR="00E312FE" w:rsidRPr="0088765E">
        <w:rPr>
          <w:b/>
        </w:rPr>
        <w:t xml:space="preserve"> on agenda item 1.1</w:t>
      </w:r>
      <w:r w:rsidR="003965AB">
        <w:rPr>
          <w:b/>
        </w:rPr>
        <w:t>8</w:t>
      </w:r>
    </w:p>
    <w:p w14:paraId="23D22EF1" w14:textId="77777777" w:rsidR="00DF6A1A" w:rsidRPr="0088765E" w:rsidRDefault="00DF6A1A" w:rsidP="00A6749C">
      <w:pPr>
        <w:widowControl w:val="0"/>
        <w:autoSpaceDE w:val="0"/>
        <w:autoSpaceDN w:val="0"/>
        <w:adjustRightInd w:val="0"/>
        <w:jc w:val="both"/>
        <w:rPr>
          <w:rFonts w:eastAsiaTheme="minorEastAsia"/>
          <w:lang w:eastAsia="ja-JP"/>
        </w:rPr>
      </w:pPr>
    </w:p>
    <w:p w14:paraId="74280EC9" w14:textId="3C159105" w:rsidR="00CF36E8" w:rsidRPr="0088765E" w:rsidRDefault="003965AB" w:rsidP="003965AB">
      <w:pPr>
        <w:widowControl w:val="0"/>
        <w:autoSpaceDE w:val="0"/>
        <w:autoSpaceDN w:val="0"/>
        <w:adjustRightInd w:val="0"/>
        <w:jc w:val="both"/>
        <w:rPr>
          <w:rFonts w:eastAsia="Times New Roman"/>
          <w:kern w:val="2"/>
          <w:lang w:eastAsia="ar-SA"/>
        </w:rPr>
      </w:pPr>
      <w:r w:rsidRPr="003965AB">
        <w:rPr>
          <w:rFonts w:eastAsiaTheme="minorEastAsia"/>
          <w:lang w:eastAsia="ja-JP"/>
        </w:rPr>
        <w:t>The IARU supports retention of the amateur secondary allocation of 3 300-3 400 MHz in</w:t>
      </w:r>
      <w:r w:rsidR="003905D5">
        <w:rPr>
          <w:rFonts w:eastAsiaTheme="minorEastAsia"/>
          <w:lang w:eastAsia="ja-JP"/>
        </w:rPr>
        <w:t xml:space="preserve"> </w:t>
      </w:r>
      <w:r w:rsidRPr="003965AB">
        <w:rPr>
          <w:rFonts w:eastAsiaTheme="minorEastAsia"/>
          <w:lang w:eastAsia="ja-JP"/>
        </w:rPr>
        <w:t>Regions 2 and 3.</w:t>
      </w:r>
    </w:p>
    <w:p w14:paraId="7D3D6CE0" w14:textId="3690C2E8" w:rsidR="00F61045" w:rsidRDefault="00F61045" w:rsidP="00A6749C">
      <w:pPr>
        <w:widowControl w:val="0"/>
        <w:autoSpaceDE w:val="0"/>
        <w:autoSpaceDN w:val="0"/>
        <w:adjustRightInd w:val="0"/>
        <w:jc w:val="both"/>
        <w:rPr>
          <w:rFonts w:eastAsiaTheme="minorEastAsia"/>
          <w:lang w:eastAsia="ja-JP"/>
        </w:rPr>
      </w:pPr>
    </w:p>
    <w:p w14:paraId="6A9200F7" w14:textId="77777777" w:rsidR="00C43726" w:rsidRPr="0088765E" w:rsidRDefault="00C43726" w:rsidP="00A6749C">
      <w:pPr>
        <w:widowControl w:val="0"/>
        <w:autoSpaceDE w:val="0"/>
        <w:autoSpaceDN w:val="0"/>
        <w:adjustRightInd w:val="0"/>
        <w:jc w:val="both"/>
        <w:rPr>
          <w:rFonts w:eastAsiaTheme="minorEastAsia"/>
          <w:lang w:eastAsia="ja-JP"/>
        </w:rPr>
      </w:pPr>
    </w:p>
    <w:p w14:paraId="16CC8CC6" w14:textId="1B91F1ED" w:rsidR="00D6720B" w:rsidRPr="0088765E" w:rsidRDefault="007342EE" w:rsidP="00A6749C">
      <w:pPr>
        <w:jc w:val="both"/>
      </w:pPr>
      <w:r w:rsidRPr="00E70E20">
        <w:rPr>
          <w:b/>
        </w:rPr>
        <w:t xml:space="preserve">6. </w:t>
      </w:r>
      <w:r w:rsidR="00D6720B" w:rsidRPr="00E70E20">
        <w:rPr>
          <w:b/>
        </w:rPr>
        <w:t xml:space="preserve">Agenda Item </w:t>
      </w:r>
      <w:r w:rsidR="003965AB">
        <w:rPr>
          <w:b/>
        </w:rPr>
        <w:t>9.</w:t>
      </w:r>
      <w:r w:rsidR="00D6720B" w:rsidRPr="00E70E20">
        <w:rPr>
          <w:rFonts w:eastAsiaTheme="minorEastAsia"/>
          <w:b/>
          <w:lang w:eastAsia="ja-JP"/>
        </w:rPr>
        <w:t>1</w:t>
      </w:r>
      <w:r w:rsidR="003965AB">
        <w:rPr>
          <w:rFonts w:eastAsiaTheme="minorEastAsia"/>
          <w:b/>
          <w:lang w:eastAsia="ja-JP"/>
        </w:rPr>
        <w:t xml:space="preserve"> Topic A</w:t>
      </w:r>
      <w:r w:rsidR="00D6720B" w:rsidRPr="00E70E20">
        <w:rPr>
          <w:b/>
        </w:rPr>
        <w:t>:</w:t>
      </w:r>
      <w:r w:rsidR="00D6720B" w:rsidRPr="0088765E">
        <w:rPr>
          <w:b/>
        </w:rPr>
        <w:t xml:space="preserve"> </w:t>
      </w:r>
    </w:p>
    <w:p w14:paraId="6A590853" w14:textId="1EA86FC0" w:rsidR="003965AB" w:rsidRPr="003965AB" w:rsidRDefault="003965AB" w:rsidP="003965AB">
      <w:pPr>
        <w:spacing w:after="111" w:line="248" w:lineRule="auto"/>
        <w:ind w:right="13"/>
        <w:jc w:val="both"/>
        <w:rPr>
          <w:rFonts w:eastAsia="Times New Roman"/>
          <w:b/>
          <w:i/>
        </w:rPr>
      </w:pPr>
      <w:r w:rsidRPr="003965AB">
        <w:rPr>
          <w:rFonts w:eastAsia="Times New Roman"/>
          <w:b/>
          <w:i/>
        </w:rPr>
        <w:t>9</w:t>
      </w:r>
      <w:r w:rsidR="00FD4006">
        <w:rPr>
          <w:rFonts w:eastAsia="Times New Roman"/>
          <w:b/>
          <w:i/>
        </w:rPr>
        <w:tab/>
      </w:r>
      <w:r w:rsidRPr="003965AB">
        <w:rPr>
          <w:rFonts w:eastAsia="Times New Roman"/>
          <w:b/>
          <w:i/>
        </w:rPr>
        <w:t>to consider and approve the Report of the Director of the Radiocommunication</w:t>
      </w:r>
    </w:p>
    <w:p w14:paraId="74A1567B" w14:textId="77777777" w:rsidR="003965AB" w:rsidRPr="003965AB" w:rsidRDefault="003965AB" w:rsidP="003965AB">
      <w:pPr>
        <w:spacing w:after="111" w:line="248" w:lineRule="auto"/>
        <w:ind w:right="13"/>
        <w:jc w:val="both"/>
        <w:rPr>
          <w:rFonts w:eastAsia="Times New Roman"/>
          <w:b/>
          <w:i/>
        </w:rPr>
      </w:pPr>
      <w:r w:rsidRPr="003965AB">
        <w:rPr>
          <w:rFonts w:eastAsia="Times New Roman"/>
          <w:b/>
          <w:i/>
        </w:rPr>
        <w:t>Bureau, in accordance with Article 7 of the Convention;</w:t>
      </w:r>
    </w:p>
    <w:p w14:paraId="6C7F8FF6" w14:textId="6099045C" w:rsidR="003965AB" w:rsidRPr="003965AB" w:rsidRDefault="003965AB" w:rsidP="003965AB">
      <w:pPr>
        <w:spacing w:after="111" w:line="248" w:lineRule="auto"/>
        <w:ind w:right="13"/>
        <w:jc w:val="both"/>
        <w:rPr>
          <w:rFonts w:eastAsia="Times New Roman"/>
          <w:b/>
          <w:i/>
        </w:rPr>
      </w:pPr>
      <w:r w:rsidRPr="003965AB">
        <w:rPr>
          <w:rFonts w:eastAsia="Times New Roman"/>
          <w:b/>
          <w:i/>
        </w:rPr>
        <w:t>9.1</w:t>
      </w:r>
      <w:r w:rsidR="00FD4006">
        <w:rPr>
          <w:rFonts w:eastAsia="Times New Roman"/>
          <w:b/>
          <w:i/>
        </w:rPr>
        <w:tab/>
      </w:r>
      <w:r w:rsidRPr="003965AB">
        <w:rPr>
          <w:rFonts w:eastAsia="Times New Roman"/>
          <w:b/>
          <w:i/>
        </w:rPr>
        <w:t>on the activities of the Radiocommunication Sector since WRC-19:</w:t>
      </w:r>
    </w:p>
    <w:p w14:paraId="404132A4" w14:textId="48A55659" w:rsidR="00D6720B" w:rsidRPr="0088765E" w:rsidRDefault="003965AB" w:rsidP="003965AB">
      <w:pPr>
        <w:spacing w:after="111" w:line="248" w:lineRule="auto"/>
        <w:ind w:right="13"/>
        <w:jc w:val="both"/>
        <w:rPr>
          <w:rFonts w:eastAsia="Times New Roman"/>
          <w:b/>
          <w:i/>
        </w:rPr>
      </w:pPr>
      <w:r w:rsidRPr="003965AB">
        <w:rPr>
          <w:rFonts w:eastAsia="Times New Roman" w:hint="eastAsia"/>
          <w:b/>
          <w:i/>
        </w:rPr>
        <w:t>–</w:t>
      </w:r>
      <w:r w:rsidRPr="003965AB">
        <w:rPr>
          <w:rFonts w:eastAsia="Times New Roman"/>
          <w:b/>
          <w:i/>
        </w:rPr>
        <w:t xml:space="preserve"> In accordance with Resolution 657 (Rev.WRC-19), review the results of studies</w:t>
      </w:r>
      <w:r w:rsidR="00FD4006">
        <w:rPr>
          <w:rFonts w:eastAsia="Times New Roman"/>
          <w:b/>
          <w:i/>
        </w:rPr>
        <w:t xml:space="preserve"> </w:t>
      </w:r>
      <w:r w:rsidRPr="003965AB">
        <w:rPr>
          <w:rFonts w:eastAsia="Times New Roman"/>
          <w:b/>
          <w:i/>
        </w:rPr>
        <w:t>relating to the technical and operational characteristics, spectrum requirements and</w:t>
      </w:r>
      <w:r w:rsidR="00FD4006">
        <w:rPr>
          <w:rFonts w:eastAsia="Times New Roman"/>
          <w:b/>
          <w:i/>
        </w:rPr>
        <w:t xml:space="preserve"> </w:t>
      </w:r>
      <w:r w:rsidRPr="003965AB">
        <w:rPr>
          <w:rFonts w:eastAsia="Times New Roman"/>
          <w:b/>
          <w:i/>
        </w:rPr>
        <w:t>appropriate radio service designations for space weather sensors with a view to describing</w:t>
      </w:r>
      <w:r w:rsidR="00FD4006">
        <w:rPr>
          <w:rFonts w:eastAsia="Times New Roman"/>
          <w:b/>
          <w:i/>
        </w:rPr>
        <w:t xml:space="preserve"> </w:t>
      </w:r>
      <w:r w:rsidRPr="003965AB">
        <w:rPr>
          <w:rFonts w:eastAsia="Times New Roman"/>
          <w:b/>
          <w:i/>
        </w:rPr>
        <w:t>appropriate recognition and protection in the Radio Regulations without placing additional</w:t>
      </w:r>
      <w:r w:rsidR="00FD4006">
        <w:rPr>
          <w:rFonts w:eastAsia="Times New Roman"/>
          <w:b/>
          <w:i/>
        </w:rPr>
        <w:t xml:space="preserve"> </w:t>
      </w:r>
      <w:r w:rsidRPr="003965AB">
        <w:rPr>
          <w:rFonts w:eastAsia="Times New Roman"/>
          <w:b/>
          <w:i/>
        </w:rPr>
        <w:t>constraints on incumbent services</w:t>
      </w:r>
    </w:p>
    <w:p w14:paraId="20408596" w14:textId="77777777" w:rsidR="00D6720B" w:rsidRPr="0088765E" w:rsidRDefault="00D6720B" w:rsidP="00A6749C">
      <w:pPr>
        <w:jc w:val="both"/>
      </w:pPr>
    </w:p>
    <w:p w14:paraId="4E751CEF" w14:textId="62FBF173" w:rsidR="00D6720B" w:rsidRPr="0088765E" w:rsidRDefault="007342EE" w:rsidP="00FD4006">
      <w:pPr>
        <w:spacing w:after="120"/>
        <w:jc w:val="both"/>
        <w:rPr>
          <w:rFonts w:eastAsiaTheme="minorEastAsia"/>
          <w:b/>
          <w:lang w:eastAsia="ja-JP"/>
        </w:rPr>
      </w:pPr>
      <w:r w:rsidRPr="0088765E">
        <w:rPr>
          <w:b/>
          <w:lang w:eastAsia="ko-KR"/>
        </w:rPr>
        <w:t>6.1</w:t>
      </w:r>
      <w:r w:rsidR="00D6720B" w:rsidRPr="0088765E">
        <w:rPr>
          <w:b/>
          <w:lang w:eastAsia="ko-KR"/>
        </w:rPr>
        <w:t xml:space="preserve"> </w:t>
      </w:r>
      <w:r w:rsidR="001D01AB" w:rsidRPr="0088765E">
        <w:rPr>
          <w:b/>
        </w:rPr>
        <w:t xml:space="preserve">IARU view on agenda item </w:t>
      </w:r>
      <w:r w:rsidR="003965AB">
        <w:rPr>
          <w:b/>
        </w:rPr>
        <w:t>9.</w:t>
      </w:r>
      <w:r w:rsidR="003965AB" w:rsidRPr="00E70E20">
        <w:rPr>
          <w:rFonts w:eastAsiaTheme="minorEastAsia"/>
          <w:b/>
          <w:lang w:eastAsia="ja-JP"/>
        </w:rPr>
        <w:t>1</w:t>
      </w:r>
      <w:r w:rsidR="003965AB">
        <w:rPr>
          <w:rFonts w:eastAsiaTheme="minorEastAsia"/>
          <w:b/>
          <w:lang w:eastAsia="ja-JP"/>
        </w:rPr>
        <w:t xml:space="preserve"> Topic A</w:t>
      </w:r>
    </w:p>
    <w:p w14:paraId="0EAF8682" w14:textId="77777777" w:rsidR="009F7069" w:rsidRPr="0088765E" w:rsidRDefault="009F7069" w:rsidP="00A6749C">
      <w:pPr>
        <w:widowControl w:val="0"/>
        <w:autoSpaceDE w:val="0"/>
        <w:autoSpaceDN w:val="0"/>
        <w:adjustRightInd w:val="0"/>
        <w:jc w:val="both"/>
        <w:rPr>
          <w:rFonts w:eastAsiaTheme="minorEastAsia"/>
          <w:lang w:eastAsia="ja-JP"/>
        </w:rPr>
      </w:pPr>
    </w:p>
    <w:p w14:paraId="527B5BAF" w14:textId="490E6093" w:rsidR="003965AB" w:rsidRPr="003965AB" w:rsidRDefault="003965AB" w:rsidP="003965AB">
      <w:pPr>
        <w:widowControl w:val="0"/>
        <w:autoSpaceDE w:val="0"/>
        <w:autoSpaceDN w:val="0"/>
        <w:adjustRightInd w:val="0"/>
        <w:jc w:val="both"/>
        <w:rPr>
          <w:rFonts w:eastAsia="Times New Roman"/>
          <w:color w:val="000000"/>
          <w:kern w:val="2"/>
          <w:lang w:eastAsia="ar-SA"/>
        </w:rPr>
      </w:pPr>
      <w:r w:rsidRPr="003965AB">
        <w:rPr>
          <w:rFonts w:eastAsia="Times New Roman"/>
          <w:color w:val="000000"/>
          <w:kern w:val="2"/>
          <w:lang w:eastAsia="ar-SA"/>
        </w:rPr>
        <w:t>The IARU notes that the scope of Resolution 657 is very broad. The systems described in</w:t>
      </w:r>
      <w:r w:rsidR="00FD4006">
        <w:rPr>
          <w:rFonts w:eastAsia="Times New Roman"/>
          <w:color w:val="000000"/>
          <w:kern w:val="2"/>
          <w:lang w:eastAsia="ar-SA"/>
        </w:rPr>
        <w:t xml:space="preserve"> </w:t>
      </w:r>
      <w:r w:rsidRPr="003965AB">
        <w:rPr>
          <w:rFonts w:eastAsia="Times New Roman"/>
          <w:color w:val="000000"/>
          <w:kern w:val="2"/>
          <w:lang w:eastAsia="ar-SA"/>
        </w:rPr>
        <w:t>Report ITU-R RS.2456-0 utilize radio frequencies from 13 kHz up to at least 15 GHz.</w:t>
      </w:r>
    </w:p>
    <w:p w14:paraId="02197EB6" w14:textId="5F2F9FA6" w:rsidR="003965AB" w:rsidRPr="003965AB" w:rsidRDefault="003965AB" w:rsidP="003965AB">
      <w:pPr>
        <w:widowControl w:val="0"/>
        <w:autoSpaceDE w:val="0"/>
        <w:autoSpaceDN w:val="0"/>
        <w:adjustRightInd w:val="0"/>
        <w:jc w:val="both"/>
        <w:rPr>
          <w:rFonts w:eastAsia="Times New Roman"/>
          <w:color w:val="000000"/>
          <w:kern w:val="2"/>
          <w:lang w:eastAsia="ar-SA"/>
        </w:rPr>
      </w:pPr>
      <w:r w:rsidRPr="003965AB">
        <w:rPr>
          <w:rFonts w:eastAsia="Times New Roman"/>
          <w:color w:val="000000"/>
          <w:kern w:val="2"/>
          <w:lang w:eastAsia="ar-SA"/>
        </w:rPr>
        <w:t>A significant proportion of amateur activity is directly affected by daily and longer-term</w:t>
      </w:r>
      <w:r w:rsidR="00FD4006">
        <w:rPr>
          <w:rFonts w:eastAsia="Times New Roman"/>
          <w:color w:val="000000"/>
          <w:kern w:val="2"/>
          <w:lang w:eastAsia="ar-SA"/>
        </w:rPr>
        <w:t xml:space="preserve"> </w:t>
      </w:r>
      <w:r w:rsidRPr="003965AB">
        <w:rPr>
          <w:rFonts w:eastAsia="Times New Roman"/>
          <w:color w:val="000000"/>
          <w:kern w:val="2"/>
          <w:lang w:eastAsia="ar-SA"/>
        </w:rPr>
        <w:t>variations in space weather. Consequently, amateurs have a significant interest in space</w:t>
      </w:r>
      <w:r w:rsidR="00FD4006">
        <w:rPr>
          <w:rFonts w:eastAsia="Times New Roman"/>
          <w:color w:val="000000"/>
          <w:kern w:val="2"/>
          <w:lang w:eastAsia="ar-SA"/>
        </w:rPr>
        <w:t xml:space="preserve"> </w:t>
      </w:r>
      <w:r w:rsidRPr="003965AB">
        <w:rPr>
          <w:rFonts w:eastAsia="Times New Roman"/>
          <w:color w:val="000000"/>
          <w:kern w:val="2"/>
          <w:lang w:eastAsia="ar-SA"/>
        </w:rPr>
        <w:t>weather and its impact on the ionosphere and radio wave propagation. At the same time, the</w:t>
      </w:r>
      <w:r w:rsidR="00FD4006">
        <w:rPr>
          <w:rFonts w:eastAsia="Times New Roman"/>
          <w:color w:val="000000"/>
          <w:kern w:val="2"/>
          <w:lang w:eastAsia="ar-SA"/>
        </w:rPr>
        <w:t xml:space="preserve"> </w:t>
      </w:r>
      <w:r w:rsidRPr="003965AB">
        <w:rPr>
          <w:rFonts w:eastAsia="Times New Roman"/>
          <w:color w:val="000000"/>
          <w:kern w:val="2"/>
          <w:lang w:eastAsia="ar-SA"/>
        </w:rPr>
        <w:t>amateur and amateur-satellite services are incumbent services with allocations in frequency</w:t>
      </w:r>
      <w:r w:rsidR="00FD4006">
        <w:rPr>
          <w:rFonts w:eastAsia="Times New Roman"/>
          <w:color w:val="000000"/>
          <w:kern w:val="2"/>
          <w:lang w:eastAsia="ar-SA"/>
        </w:rPr>
        <w:t xml:space="preserve"> </w:t>
      </w:r>
      <w:r w:rsidRPr="003965AB">
        <w:rPr>
          <w:rFonts w:eastAsia="Times New Roman"/>
          <w:color w:val="000000"/>
          <w:kern w:val="2"/>
          <w:lang w:eastAsia="ar-SA"/>
        </w:rPr>
        <w:t>bands ranging from 135.7 kHz to 250 GHz.</w:t>
      </w:r>
    </w:p>
    <w:p w14:paraId="1AE27B12" w14:textId="2C2623EC" w:rsidR="003965AB" w:rsidRPr="003965AB" w:rsidRDefault="003965AB" w:rsidP="003965AB">
      <w:pPr>
        <w:widowControl w:val="0"/>
        <w:autoSpaceDE w:val="0"/>
        <w:autoSpaceDN w:val="0"/>
        <w:adjustRightInd w:val="0"/>
        <w:jc w:val="both"/>
        <w:rPr>
          <w:rFonts w:eastAsia="Times New Roman"/>
          <w:color w:val="000000"/>
          <w:kern w:val="2"/>
          <w:lang w:eastAsia="ar-SA"/>
        </w:rPr>
      </w:pPr>
      <w:r w:rsidRPr="003965AB">
        <w:rPr>
          <w:rFonts w:eastAsia="Times New Roman"/>
          <w:color w:val="000000"/>
          <w:kern w:val="2"/>
          <w:lang w:eastAsia="ar-SA"/>
        </w:rPr>
        <w:t>In considering potential new regulatory provisions for the recognition of space weather</w:t>
      </w:r>
      <w:r w:rsidR="00FD4006">
        <w:rPr>
          <w:rFonts w:eastAsia="Times New Roman"/>
          <w:color w:val="000000"/>
          <w:kern w:val="2"/>
          <w:lang w:eastAsia="ar-SA"/>
        </w:rPr>
        <w:t xml:space="preserve"> </w:t>
      </w:r>
      <w:r w:rsidRPr="003965AB">
        <w:rPr>
          <w:rFonts w:eastAsia="Times New Roman"/>
          <w:color w:val="000000"/>
          <w:kern w:val="2"/>
          <w:lang w:eastAsia="ar-SA"/>
        </w:rPr>
        <w:t>systems, additional constraints on incumbent services including the amateur and amateur</w:t>
      </w:r>
      <w:r w:rsidR="00FD4006">
        <w:rPr>
          <w:rFonts w:eastAsia="Times New Roman"/>
          <w:color w:val="000000"/>
          <w:kern w:val="2"/>
          <w:lang w:eastAsia="ar-SA"/>
        </w:rPr>
        <w:t xml:space="preserve"> </w:t>
      </w:r>
      <w:r w:rsidRPr="003965AB">
        <w:rPr>
          <w:rFonts w:eastAsia="Times New Roman"/>
          <w:color w:val="000000"/>
          <w:kern w:val="2"/>
          <w:lang w:eastAsia="ar-SA"/>
        </w:rPr>
        <w:t>satellite services must be avoided.</w:t>
      </w:r>
    </w:p>
    <w:p w14:paraId="2973A370" w14:textId="22EFDEE1" w:rsidR="00590240" w:rsidRDefault="003965AB" w:rsidP="003965AB">
      <w:pPr>
        <w:widowControl w:val="0"/>
        <w:autoSpaceDE w:val="0"/>
        <w:autoSpaceDN w:val="0"/>
        <w:adjustRightInd w:val="0"/>
        <w:jc w:val="both"/>
        <w:rPr>
          <w:rFonts w:eastAsia="Times New Roman"/>
          <w:color w:val="000000"/>
          <w:kern w:val="2"/>
          <w:lang w:eastAsia="ar-SA"/>
        </w:rPr>
      </w:pPr>
      <w:r w:rsidRPr="003965AB">
        <w:rPr>
          <w:rFonts w:eastAsia="Times New Roman"/>
          <w:color w:val="000000"/>
          <w:kern w:val="2"/>
          <w:lang w:eastAsia="ar-SA"/>
        </w:rPr>
        <w:t>IARU will monitor developments in WP 7C and will contribute to inputs via WP 5A.</w:t>
      </w:r>
    </w:p>
    <w:p w14:paraId="674610EA" w14:textId="4E3CEF79" w:rsidR="003965AB" w:rsidRDefault="003965AB" w:rsidP="003965AB">
      <w:pPr>
        <w:widowControl w:val="0"/>
        <w:autoSpaceDE w:val="0"/>
        <w:autoSpaceDN w:val="0"/>
        <w:adjustRightInd w:val="0"/>
        <w:jc w:val="both"/>
        <w:rPr>
          <w:rFonts w:eastAsiaTheme="minorEastAsia"/>
          <w:b/>
          <w:lang w:eastAsia="ja-JP"/>
        </w:rPr>
      </w:pPr>
    </w:p>
    <w:p w14:paraId="12BBCD86" w14:textId="77777777" w:rsidR="00FD4006" w:rsidRPr="0088765E" w:rsidRDefault="00FD4006" w:rsidP="003965AB">
      <w:pPr>
        <w:widowControl w:val="0"/>
        <w:autoSpaceDE w:val="0"/>
        <w:autoSpaceDN w:val="0"/>
        <w:adjustRightInd w:val="0"/>
        <w:jc w:val="both"/>
        <w:rPr>
          <w:rFonts w:eastAsiaTheme="minorEastAsia"/>
          <w:b/>
          <w:lang w:eastAsia="ja-JP"/>
        </w:rPr>
      </w:pPr>
    </w:p>
    <w:p w14:paraId="5CE3B80B" w14:textId="54719AF7" w:rsidR="00110026" w:rsidRPr="0088765E" w:rsidRDefault="00110026" w:rsidP="00A6749C">
      <w:pPr>
        <w:jc w:val="both"/>
        <w:rPr>
          <w:rFonts w:eastAsiaTheme="minorEastAsia"/>
          <w:b/>
          <w:lang w:eastAsia="ja-JP"/>
        </w:rPr>
      </w:pPr>
      <w:r w:rsidRPr="0088765E">
        <w:rPr>
          <w:rFonts w:eastAsiaTheme="minorEastAsia"/>
          <w:b/>
          <w:lang w:eastAsia="ja-JP"/>
        </w:rPr>
        <w:t xml:space="preserve">7. Agenda Item </w:t>
      </w:r>
      <w:r w:rsidR="003965AB">
        <w:rPr>
          <w:b/>
        </w:rPr>
        <w:t>9.</w:t>
      </w:r>
      <w:r w:rsidR="003965AB" w:rsidRPr="00E70E20">
        <w:rPr>
          <w:rFonts w:eastAsiaTheme="minorEastAsia"/>
          <w:b/>
          <w:lang w:eastAsia="ja-JP"/>
        </w:rPr>
        <w:t>1</w:t>
      </w:r>
      <w:r w:rsidR="003965AB">
        <w:rPr>
          <w:rFonts w:eastAsiaTheme="minorEastAsia"/>
          <w:b/>
          <w:lang w:eastAsia="ja-JP"/>
        </w:rPr>
        <w:t xml:space="preserve"> Topic B</w:t>
      </w:r>
      <w:r w:rsidRPr="0088765E">
        <w:rPr>
          <w:rFonts w:eastAsiaTheme="minorEastAsia"/>
          <w:b/>
          <w:lang w:eastAsia="ja-JP"/>
        </w:rPr>
        <w:t>:</w:t>
      </w:r>
    </w:p>
    <w:p w14:paraId="2F1A9AC0" w14:textId="6AADE9F8" w:rsidR="003965AB" w:rsidRPr="003965AB" w:rsidRDefault="003965AB" w:rsidP="003965AB">
      <w:pPr>
        <w:jc w:val="both"/>
        <w:rPr>
          <w:rFonts w:eastAsia="Times New Roman"/>
          <w:b/>
          <w:i/>
        </w:rPr>
      </w:pPr>
      <w:r w:rsidRPr="003965AB">
        <w:rPr>
          <w:rFonts w:eastAsia="Times New Roman"/>
          <w:b/>
          <w:i/>
        </w:rPr>
        <w:t>9</w:t>
      </w:r>
      <w:r w:rsidR="00FD4006">
        <w:rPr>
          <w:rFonts w:eastAsia="Times New Roman"/>
          <w:b/>
          <w:i/>
        </w:rPr>
        <w:tab/>
      </w:r>
      <w:r w:rsidRPr="003965AB">
        <w:rPr>
          <w:rFonts w:eastAsia="Times New Roman"/>
          <w:b/>
          <w:i/>
        </w:rPr>
        <w:t>to consider and approve the Report of the Director of the Radiocommunication</w:t>
      </w:r>
    </w:p>
    <w:p w14:paraId="2AAF939D" w14:textId="77777777" w:rsidR="003965AB" w:rsidRPr="003965AB" w:rsidRDefault="003965AB" w:rsidP="003965AB">
      <w:pPr>
        <w:jc w:val="both"/>
        <w:rPr>
          <w:rFonts w:eastAsia="Times New Roman"/>
          <w:b/>
          <w:i/>
        </w:rPr>
      </w:pPr>
      <w:r w:rsidRPr="003965AB">
        <w:rPr>
          <w:rFonts w:eastAsia="Times New Roman"/>
          <w:b/>
          <w:i/>
        </w:rPr>
        <w:t>Bureau, in accordance with Article 7 of the Convention;</w:t>
      </w:r>
    </w:p>
    <w:p w14:paraId="2CBEBC09" w14:textId="6BCB378A" w:rsidR="003965AB" w:rsidRPr="003965AB" w:rsidRDefault="003965AB" w:rsidP="003965AB">
      <w:pPr>
        <w:jc w:val="both"/>
        <w:rPr>
          <w:rFonts w:eastAsia="Times New Roman"/>
          <w:b/>
          <w:i/>
        </w:rPr>
      </w:pPr>
      <w:r w:rsidRPr="003965AB">
        <w:rPr>
          <w:rFonts w:eastAsia="Times New Roman"/>
          <w:b/>
          <w:i/>
        </w:rPr>
        <w:t>9.1</w:t>
      </w:r>
      <w:r w:rsidR="00FD4006">
        <w:rPr>
          <w:rFonts w:eastAsia="Times New Roman"/>
          <w:b/>
          <w:i/>
        </w:rPr>
        <w:tab/>
      </w:r>
      <w:r w:rsidRPr="003965AB">
        <w:rPr>
          <w:rFonts w:eastAsia="Times New Roman"/>
          <w:b/>
          <w:i/>
        </w:rPr>
        <w:t>on the activities of the Radiocommunication Sector since WRC-19:</w:t>
      </w:r>
    </w:p>
    <w:p w14:paraId="2C40827B" w14:textId="77777777" w:rsidR="003965AB" w:rsidRPr="003965AB" w:rsidRDefault="003965AB" w:rsidP="003965AB">
      <w:pPr>
        <w:jc w:val="both"/>
        <w:rPr>
          <w:rFonts w:eastAsia="Times New Roman"/>
          <w:b/>
          <w:i/>
        </w:rPr>
      </w:pPr>
      <w:r w:rsidRPr="003965AB">
        <w:rPr>
          <w:rFonts w:eastAsia="Times New Roman" w:hint="eastAsia"/>
          <w:b/>
          <w:i/>
        </w:rPr>
        <w:t>…</w:t>
      </w:r>
    </w:p>
    <w:p w14:paraId="6DCC8D34" w14:textId="27C6154A" w:rsidR="0057652A" w:rsidRPr="0088765E" w:rsidRDefault="003965AB" w:rsidP="003965AB">
      <w:pPr>
        <w:jc w:val="both"/>
        <w:rPr>
          <w:rFonts w:eastAsiaTheme="minorEastAsia"/>
          <w:b/>
          <w:i/>
          <w:lang w:eastAsia="ja-JP"/>
        </w:rPr>
      </w:pPr>
      <w:r w:rsidRPr="003965AB">
        <w:rPr>
          <w:rFonts w:eastAsia="Times New Roman" w:hint="eastAsia"/>
          <w:b/>
          <w:i/>
        </w:rPr>
        <w:t>–</w:t>
      </w:r>
      <w:r w:rsidRPr="003965AB">
        <w:rPr>
          <w:rFonts w:eastAsia="Times New Roman"/>
          <w:b/>
          <w:i/>
        </w:rPr>
        <w:t xml:space="preserve"> Review of the amateur service and the amateur-satellite service allocations in the</w:t>
      </w:r>
      <w:r w:rsidR="00FD4006">
        <w:rPr>
          <w:rFonts w:eastAsia="Times New Roman"/>
          <w:b/>
          <w:i/>
        </w:rPr>
        <w:t xml:space="preserve"> </w:t>
      </w:r>
      <w:r w:rsidRPr="003965AB">
        <w:rPr>
          <w:rFonts w:eastAsia="Times New Roman"/>
          <w:b/>
          <w:i/>
        </w:rPr>
        <w:t>frequency band 1 240-1 300 MHz to determine if additional measures are required to ensure</w:t>
      </w:r>
      <w:r w:rsidR="00FD4006">
        <w:rPr>
          <w:rFonts w:eastAsia="Times New Roman"/>
          <w:b/>
          <w:i/>
        </w:rPr>
        <w:t xml:space="preserve"> </w:t>
      </w:r>
      <w:r w:rsidRPr="003965AB">
        <w:rPr>
          <w:rFonts w:eastAsia="Times New Roman"/>
          <w:b/>
          <w:i/>
        </w:rPr>
        <w:t>protection of the radionavigation-satellite (space-to-Earth) service operating in the same band</w:t>
      </w:r>
      <w:r w:rsidR="00FD4006">
        <w:rPr>
          <w:rFonts w:eastAsia="Times New Roman"/>
          <w:b/>
          <w:i/>
        </w:rPr>
        <w:t xml:space="preserve"> </w:t>
      </w:r>
      <w:r w:rsidRPr="003965AB">
        <w:rPr>
          <w:rFonts w:eastAsia="Times New Roman"/>
          <w:b/>
          <w:i/>
        </w:rPr>
        <w:t>in accordance with Resolution 774 (WRC-19)</w:t>
      </w:r>
    </w:p>
    <w:p w14:paraId="5B51E3A6" w14:textId="77777777" w:rsidR="0057652A" w:rsidRPr="0088765E" w:rsidRDefault="0057652A" w:rsidP="00A6749C">
      <w:pPr>
        <w:jc w:val="both"/>
        <w:rPr>
          <w:rFonts w:eastAsiaTheme="minorEastAsia"/>
          <w:b/>
          <w:i/>
          <w:lang w:eastAsia="ja-JP"/>
        </w:rPr>
      </w:pPr>
    </w:p>
    <w:p w14:paraId="185281AE" w14:textId="26A7252C" w:rsidR="00495D14" w:rsidRPr="0088765E" w:rsidRDefault="004A13A8" w:rsidP="00A6749C">
      <w:pPr>
        <w:jc w:val="both"/>
        <w:rPr>
          <w:rFonts w:eastAsiaTheme="minorEastAsia"/>
          <w:b/>
          <w:lang w:eastAsia="ja-JP"/>
        </w:rPr>
      </w:pPr>
      <w:r w:rsidRPr="0088765E">
        <w:rPr>
          <w:rFonts w:eastAsiaTheme="minorEastAsia"/>
          <w:b/>
          <w:lang w:eastAsia="ja-JP"/>
        </w:rPr>
        <w:t>7.1 Background</w:t>
      </w:r>
    </w:p>
    <w:p w14:paraId="7B46615D" w14:textId="77777777" w:rsidR="00495D14" w:rsidRPr="0088765E" w:rsidRDefault="00495D14" w:rsidP="00A6749C">
      <w:pPr>
        <w:jc w:val="both"/>
        <w:rPr>
          <w:b/>
        </w:rPr>
      </w:pPr>
    </w:p>
    <w:p w14:paraId="5EADE986" w14:textId="3C412746" w:rsidR="00FD4006" w:rsidRDefault="00FD4006" w:rsidP="00FD4006">
      <w:pPr>
        <w:suppressAutoHyphens/>
        <w:jc w:val="both"/>
        <w:rPr>
          <w:rFonts w:eastAsia="Times New Roman"/>
          <w:kern w:val="2"/>
          <w:lang w:eastAsia="ar-SA"/>
        </w:rPr>
      </w:pPr>
      <w:r w:rsidRPr="00FD4006">
        <w:rPr>
          <w:rFonts w:eastAsia="Times New Roman"/>
          <w:kern w:val="2"/>
          <w:lang w:eastAsia="ar-SA"/>
        </w:rPr>
        <w:t>The amateur service has a secondary allocation in the 1 240-1 300 MHz frequency band. The</w:t>
      </w:r>
      <w:r w:rsidR="003905D5">
        <w:rPr>
          <w:rFonts w:eastAsia="Times New Roman"/>
          <w:kern w:val="2"/>
          <w:lang w:eastAsia="ar-SA"/>
        </w:rPr>
        <w:t xml:space="preserve"> </w:t>
      </w:r>
      <w:r w:rsidRPr="00FD4006">
        <w:rPr>
          <w:rFonts w:eastAsia="Times New Roman"/>
          <w:kern w:val="2"/>
          <w:lang w:eastAsia="ar-SA"/>
        </w:rPr>
        <w:t>amateur-satellite service has a secondary allocation in 1 260-1 270 MHz (Earth-to-space).</w:t>
      </w:r>
    </w:p>
    <w:p w14:paraId="727950DF" w14:textId="77777777" w:rsidR="00FD4006" w:rsidRPr="00FD4006" w:rsidRDefault="00FD4006" w:rsidP="00FD4006">
      <w:pPr>
        <w:suppressAutoHyphens/>
        <w:jc w:val="both"/>
        <w:rPr>
          <w:rFonts w:eastAsia="Times New Roman"/>
          <w:kern w:val="2"/>
          <w:lang w:eastAsia="ar-SA"/>
        </w:rPr>
      </w:pPr>
    </w:p>
    <w:p w14:paraId="49DAE216" w14:textId="22912F9C" w:rsidR="00E2040D" w:rsidRPr="0088765E" w:rsidRDefault="00FD4006" w:rsidP="00FD4006">
      <w:pPr>
        <w:suppressAutoHyphens/>
        <w:jc w:val="both"/>
        <w:rPr>
          <w:rFonts w:eastAsia="Times New Roman"/>
          <w:kern w:val="2"/>
          <w:lang w:eastAsia="ar-SA"/>
        </w:rPr>
      </w:pPr>
      <w:r w:rsidRPr="00FD4006">
        <w:rPr>
          <w:rFonts w:eastAsia="Times New Roman"/>
          <w:kern w:val="2"/>
          <w:lang w:eastAsia="ar-SA"/>
        </w:rPr>
        <w:t xml:space="preserve">A preliminary draft new Report ITU-R </w:t>
      </w:r>
      <w:proofErr w:type="gramStart"/>
      <w:r w:rsidRPr="00FD4006">
        <w:rPr>
          <w:rFonts w:eastAsia="Times New Roman"/>
          <w:kern w:val="2"/>
          <w:lang w:eastAsia="ar-SA"/>
        </w:rPr>
        <w:t>M.[</w:t>
      </w:r>
      <w:proofErr w:type="gramEnd"/>
      <w:r w:rsidRPr="00FD4006">
        <w:rPr>
          <w:rFonts w:eastAsia="Times New Roman"/>
          <w:kern w:val="2"/>
          <w:lang w:eastAsia="ar-SA"/>
        </w:rPr>
        <w:t>AMATEUR.CHARACTERISTICS] is in</w:t>
      </w:r>
      <w:r w:rsidR="00661AFA">
        <w:rPr>
          <w:rFonts w:eastAsia="Times New Roman"/>
          <w:kern w:val="2"/>
          <w:lang w:eastAsia="ar-SA"/>
        </w:rPr>
        <w:t xml:space="preserve"> </w:t>
      </w:r>
      <w:r w:rsidRPr="00FD4006">
        <w:rPr>
          <w:rFonts w:eastAsia="Times New Roman"/>
          <w:kern w:val="2"/>
          <w:lang w:eastAsia="ar-SA"/>
        </w:rPr>
        <w:t>preparation in ITU-R Working Party 5A. The current version of the working document is</w:t>
      </w:r>
      <w:r w:rsidR="00661AFA">
        <w:rPr>
          <w:rFonts w:eastAsia="Times New Roman"/>
          <w:kern w:val="2"/>
          <w:lang w:eastAsia="ar-SA"/>
        </w:rPr>
        <w:t xml:space="preserve"> </w:t>
      </w:r>
      <w:r w:rsidRPr="00FD4006">
        <w:rPr>
          <w:rFonts w:eastAsia="Times New Roman"/>
          <w:kern w:val="2"/>
          <w:lang w:eastAsia="ar-SA"/>
        </w:rPr>
        <w:t xml:space="preserve">Annex 10 to Document </w:t>
      </w:r>
      <w:hyperlink r:id="rId12" w:history="1">
        <w:r w:rsidRPr="008433FD">
          <w:rPr>
            <w:rStyle w:val="Hyperlink"/>
            <w:rFonts w:eastAsia="Times New Roman"/>
            <w:kern w:val="2"/>
            <w:lang w:eastAsia="ar-SA"/>
          </w:rPr>
          <w:t>5A/221-E</w:t>
        </w:r>
      </w:hyperlink>
      <w:r w:rsidRPr="00FD4006">
        <w:rPr>
          <w:rFonts w:eastAsia="Times New Roman"/>
          <w:kern w:val="2"/>
          <w:lang w:eastAsia="ar-SA"/>
        </w:rPr>
        <w:t xml:space="preserve"> (Chairman’s Report) dated 23 November 2020. The</w:t>
      </w:r>
      <w:r w:rsidR="00661AFA">
        <w:rPr>
          <w:rFonts w:eastAsia="Times New Roman"/>
          <w:kern w:val="2"/>
          <w:lang w:eastAsia="ar-SA"/>
        </w:rPr>
        <w:t xml:space="preserve"> </w:t>
      </w:r>
      <w:r w:rsidRPr="00FD4006">
        <w:rPr>
          <w:rFonts w:eastAsia="Times New Roman"/>
          <w:kern w:val="2"/>
          <w:lang w:eastAsia="ar-SA"/>
        </w:rPr>
        <w:t>document provides a comprehensive illustration of how the band is used by amateurs.</w:t>
      </w:r>
    </w:p>
    <w:p w14:paraId="0BF820A1" w14:textId="77777777" w:rsidR="00E2040D" w:rsidRPr="0088765E" w:rsidRDefault="00E2040D" w:rsidP="00A6749C">
      <w:pPr>
        <w:suppressAutoHyphens/>
        <w:jc w:val="both"/>
        <w:rPr>
          <w:rFonts w:eastAsia="Times New Roman"/>
          <w:kern w:val="2"/>
          <w:lang w:eastAsia="ar-SA"/>
        </w:rPr>
      </w:pPr>
    </w:p>
    <w:p w14:paraId="2BCAAEFA" w14:textId="0BAD8D1A" w:rsidR="00FA0D90" w:rsidRPr="0088765E" w:rsidRDefault="00FA0D90" w:rsidP="00FA0D90">
      <w:pPr>
        <w:jc w:val="both"/>
        <w:rPr>
          <w:rFonts w:eastAsiaTheme="minorEastAsia"/>
          <w:b/>
          <w:lang w:eastAsia="ja-JP"/>
        </w:rPr>
      </w:pPr>
      <w:r w:rsidRPr="0088765E">
        <w:rPr>
          <w:b/>
        </w:rPr>
        <w:t>7.</w:t>
      </w:r>
      <w:r w:rsidR="00DD7CEC">
        <w:rPr>
          <w:rFonts w:eastAsiaTheme="minorEastAsia" w:hint="eastAsia"/>
          <w:b/>
          <w:lang w:eastAsia="ja-JP"/>
        </w:rPr>
        <w:t>2</w:t>
      </w:r>
      <w:r w:rsidRPr="0088765E">
        <w:rPr>
          <w:b/>
        </w:rPr>
        <w:t xml:space="preserve"> IARU view on agenda item </w:t>
      </w:r>
      <w:r w:rsidR="003965AB">
        <w:rPr>
          <w:b/>
        </w:rPr>
        <w:t>9.</w:t>
      </w:r>
      <w:r w:rsidR="003965AB" w:rsidRPr="00E70E20">
        <w:rPr>
          <w:rFonts w:eastAsiaTheme="minorEastAsia"/>
          <w:b/>
          <w:lang w:eastAsia="ja-JP"/>
        </w:rPr>
        <w:t>1</w:t>
      </w:r>
      <w:r w:rsidR="003965AB">
        <w:rPr>
          <w:rFonts w:eastAsiaTheme="minorEastAsia"/>
          <w:b/>
          <w:lang w:eastAsia="ja-JP"/>
        </w:rPr>
        <w:t xml:space="preserve"> Topic B</w:t>
      </w:r>
    </w:p>
    <w:p w14:paraId="69959D91" w14:textId="77777777" w:rsidR="00FA0D90" w:rsidRPr="0088765E" w:rsidRDefault="00FA0D90" w:rsidP="00A6749C">
      <w:pPr>
        <w:suppressAutoHyphens/>
        <w:jc w:val="both"/>
        <w:rPr>
          <w:rFonts w:eastAsia="Times New Roman"/>
          <w:kern w:val="2"/>
          <w:lang w:eastAsia="ar-SA"/>
        </w:rPr>
      </w:pPr>
    </w:p>
    <w:p w14:paraId="10A46BD2" w14:textId="2F1C6CBE" w:rsidR="00E22F01" w:rsidRPr="0088765E" w:rsidRDefault="00AB27B7" w:rsidP="00AB27B7">
      <w:pPr>
        <w:suppressAutoHyphens/>
        <w:jc w:val="both"/>
        <w:rPr>
          <w:rFonts w:eastAsia="Times New Roman"/>
          <w:kern w:val="2"/>
          <w:lang w:eastAsia="ar-SA"/>
        </w:rPr>
      </w:pPr>
      <w:r w:rsidRPr="00AB27B7">
        <w:rPr>
          <w:rFonts w:eastAsia="Times New Roman"/>
          <w:kern w:val="2"/>
          <w:lang w:eastAsia="ar-SA"/>
        </w:rPr>
        <w:t>During many years of operational experience, the secondary amateur and amateur satellite</w:t>
      </w:r>
      <w:r w:rsidR="003905D5">
        <w:rPr>
          <w:rFonts w:eastAsia="Times New Roman"/>
          <w:kern w:val="2"/>
          <w:lang w:eastAsia="ar-SA"/>
        </w:rPr>
        <w:t xml:space="preserve"> </w:t>
      </w:r>
      <w:r w:rsidRPr="00AB27B7">
        <w:rPr>
          <w:rFonts w:eastAsia="Times New Roman"/>
          <w:kern w:val="2"/>
          <w:lang w:eastAsia="ar-SA"/>
        </w:rPr>
        <w:t>services have successfully co-existed with all the primary services in the range 1 240-1 300</w:t>
      </w:r>
      <w:r w:rsidR="003905D5">
        <w:rPr>
          <w:rFonts w:eastAsia="Times New Roman"/>
          <w:kern w:val="2"/>
          <w:lang w:eastAsia="ar-SA"/>
        </w:rPr>
        <w:t xml:space="preserve"> </w:t>
      </w:r>
      <w:r w:rsidRPr="00AB27B7">
        <w:rPr>
          <w:rFonts w:eastAsia="Times New Roman"/>
          <w:kern w:val="2"/>
          <w:lang w:eastAsia="ar-SA"/>
        </w:rPr>
        <w:t>MHz with very few issues. In cases where certain applications (in particular</w:t>
      </w:r>
      <w:r w:rsidR="003905D5">
        <w:rPr>
          <w:rFonts w:eastAsia="Times New Roman"/>
          <w:kern w:val="2"/>
          <w:lang w:eastAsia="ar-SA"/>
        </w:rPr>
        <w:t>,</w:t>
      </w:r>
      <w:r w:rsidRPr="00AB27B7">
        <w:rPr>
          <w:rFonts w:eastAsia="Times New Roman"/>
          <w:kern w:val="2"/>
          <w:lang w:eastAsia="ar-SA"/>
        </w:rPr>
        <w:t xml:space="preserve"> wide bandwidth,</w:t>
      </w:r>
      <w:r w:rsidR="003905D5">
        <w:rPr>
          <w:rFonts w:eastAsia="Times New Roman"/>
          <w:kern w:val="2"/>
          <w:lang w:eastAsia="ar-SA"/>
        </w:rPr>
        <w:t xml:space="preserve"> </w:t>
      </w:r>
      <w:r w:rsidRPr="00AB27B7">
        <w:rPr>
          <w:rFonts w:eastAsia="Times New Roman"/>
          <w:kern w:val="2"/>
          <w:lang w:eastAsia="ar-SA"/>
        </w:rPr>
        <w:t>high duty cycle applications) could increase the potential for interference, careful spectrum</w:t>
      </w:r>
      <w:r w:rsidR="003905D5">
        <w:rPr>
          <w:rFonts w:eastAsia="Times New Roman"/>
          <w:kern w:val="2"/>
          <w:lang w:eastAsia="ar-SA"/>
        </w:rPr>
        <w:t xml:space="preserve"> </w:t>
      </w:r>
      <w:r w:rsidRPr="00AB27B7">
        <w:rPr>
          <w:rFonts w:eastAsia="Times New Roman"/>
          <w:kern w:val="2"/>
          <w:lang w:eastAsia="ar-SA"/>
        </w:rPr>
        <w:t xml:space="preserve">management and national licensing conditions have </w:t>
      </w:r>
      <w:proofErr w:type="spellStart"/>
      <w:r w:rsidRPr="00AB27B7">
        <w:rPr>
          <w:rFonts w:eastAsia="Times New Roman"/>
          <w:kern w:val="2"/>
          <w:lang w:eastAsia="ar-SA"/>
        </w:rPr>
        <w:t>minimised</w:t>
      </w:r>
      <w:proofErr w:type="spellEnd"/>
      <w:r w:rsidRPr="00AB27B7">
        <w:rPr>
          <w:rFonts w:eastAsia="Times New Roman"/>
          <w:kern w:val="2"/>
          <w:lang w:eastAsia="ar-SA"/>
        </w:rPr>
        <w:t xml:space="preserve"> any risk. Radio amateurs have</w:t>
      </w:r>
      <w:r w:rsidR="003905D5">
        <w:rPr>
          <w:rFonts w:eastAsia="Times New Roman"/>
          <w:kern w:val="2"/>
          <w:lang w:eastAsia="ar-SA"/>
        </w:rPr>
        <w:t xml:space="preserve"> </w:t>
      </w:r>
      <w:r w:rsidRPr="00AB27B7">
        <w:rPr>
          <w:rFonts w:eastAsia="Times New Roman"/>
          <w:kern w:val="2"/>
          <w:lang w:eastAsia="ar-SA"/>
        </w:rPr>
        <w:t>successfully co-existed and innovated in this frequency range for many years and IARU</w:t>
      </w:r>
      <w:r w:rsidR="003905D5">
        <w:rPr>
          <w:rFonts w:eastAsia="Times New Roman"/>
          <w:kern w:val="2"/>
          <w:lang w:eastAsia="ar-SA"/>
        </w:rPr>
        <w:t xml:space="preserve"> </w:t>
      </w:r>
      <w:r w:rsidRPr="00AB27B7">
        <w:rPr>
          <w:rFonts w:eastAsia="Times New Roman"/>
          <w:kern w:val="2"/>
          <w:lang w:eastAsia="ar-SA"/>
        </w:rPr>
        <w:t>believes that the regulatory status of the amateur and amateur satellite services in this range</w:t>
      </w:r>
      <w:r w:rsidR="003905D5">
        <w:rPr>
          <w:rFonts w:eastAsia="Times New Roman"/>
          <w:kern w:val="2"/>
          <w:lang w:eastAsia="ar-SA"/>
        </w:rPr>
        <w:t xml:space="preserve"> </w:t>
      </w:r>
      <w:r w:rsidRPr="00AB27B7">
        <w:rPr>
          <w:rFonts w:eastAsia="Times New Roman"/>
          <w:kern w:val="2"/>
          <w:lang w:eastAsia="ar-SA"/>
        </w:rPr>
        <w:t>is already clear. Therefore</w:t>
      </w:r>
      <w:r w:rsidR="00661AFA">
        <w:rPr>
          <w:rFonts w:eastAsia="Times New Roman"/>
          <w:kern w:val="2"/>
          <w:lang w:eastAsia="ar-SA"/>
        </w:rPr>
        <w:t>,</w:t>
      </w:r>
      <w:r w:rsidRPr="00AB27B7">
        <w:rPr>
          <w:rFonts w:eastAsia="Times New Roman"/>
          <w:kern w:val="2"/>
          <w:lang w:eastAsia="ar-SA"/>
        </w:rPr>
        <w:t xml:space="preserve"> any additional regulatory, operational</w:t>
      </w:r>
      <w:r w:rsidR="003905D5">
        <w:rPr>
          <w:rFonts w:eastAsia="Times New Roman"/>
          <w:kern w:val="2"/>
          <w:lang w:eastAsia="ar-SA"/>
        </w:rPr>
        <w:t>,</w:t>
      </w:r>
      <w:r w:rsidRPr="00AB27B7">
        <w:rPr>
          <w:rFonts w:eastAsia="Times New Roman"/>
          <w:kern w:val="2"/>
          <w:lang w:eastAsia="ar-SA"/>
        </w:rPr>
        <w:t xml:space="preserve"> or technical measures</w:t>
      </w:r>
      <w:r w:rsidR="003905D5">
        <w:rPr>
          <w:rFonts w:eastAsia="Times New Roman"/>
          <w:kern w:val="2"/>
          <w:lang w:eastAsia="ar-SA"/>
        </w:rPr>
        <w:t xml:space="preserve"> </w:t>
      </w:r>
      <w:r w:rsidRPr="00AB27B7">
        <w:rPr>
          <w:rFonts w:eastAsia="Times New Roman"/>
          <w:kern w:val="2"/>
          <w:lang w:eastAsia="ar-SA"/>
        </w:rPr>
        <w:t>incorporated into the Radio Regulations are unnecessary. Any recommendations resulting</w:t>
      </w:r>
      <w:r w:rsidR="003905D5">
        <w:rPr>
          <w:rFonts w:eastAsia="Times New Roman"/>
          <w:kern w:val="2"/>
          <w:lang w:eastAsia="ar-SA"/>
        </w:rPr>
        <w:t xml:space="preserve"> </w:t>
      </w:r>
      <w:r w:rsidRPr="00AB27B7">
        <w:rPr>
          <w:rFonts w:eastAsia="Times New Roman"/>
          <w:kern w:val="2"/>
          <w:lang w:eastAsia="ar-SA"/>
        </w:rPr>
        <w:t>from studies under Resolution 774 can be applied on a national basis and should be based on</w:t>
      </w:r>
      <w:r w:rsidR="003905D5">
        <w:rPr>
          <w:rFonts w:eastAsia="Times New Roman"/>
          <w:kern w:val="2"/>
          <w:lang w:eastAsia="ar-SA"/>
        </w:rPr>
        <w:t xml:space="preserve"> </w:t>
      </w:r>
      <w:r w:rsidRPr="00AB27B7">
        <w:rPr>
          <w:rFonts w:eastAsia="Times New Roman"/>
          <w:kern w:val="2"/>
          <w:lang w:eastAsia="ar-SA"/>
        </w:rPr>
        <w:t>realistic assumptions, proportionate in scope</w:t>
      </w:r>
      <w:r w:rsidR="003905D5">
        <w:rPr>
          <w:rFonts w:eastAsia="Times New Roman"/>
          <w:kern w:val="2"/>
          <w:lang w:eastAsia="ar-SA"/>
        </w:rPr>
        <w:t>,</w:t>
      </w:r>
      <w:r w:rsidRPr="00AB27B7">
        <w:rPr>
          <w:rFonts w:eastAsia="Times New Roman"/>
          <w:kern w:val="2"/>
          <w:lang w:eastAsia="ar-SA"/>
        </w:rPr>
        <w:t xml:space="preserve"> and carefully justified so as not to unnecessarily</w:t>
      </w:r>
      <w:r w:rsidR="003905D5">
        <w:rPr>
          <w:rFonts w:eastAsia="Times New Roman"/>
          <w:kern w:val="2"/>
          <w:lang w:eastAsia="ar-SA"/>
        </w:rPr>
        <w:t xml:space="preserve"> </w:t>
      </w:r>
      <w:r w:rsidRPr="00AB27B7">
        <w:rPr>
          <w:rFonts w:eastAsia="Times New Roman"/>
          <w:kern w:val="2"/>
          <w:lang w:eastAsia="ar-SA"/>
        </w:rPr>
        <w:t>inhibit development of the amateur services.</w:t>
      </w:r>
    </w:p>
    <w:p w14:paraId="71E1073E" w14:textId="576D7245" w:rsidR="006B5844" w:rsidRPr="0088765E" w:rsidRDefault="006B5844" w:rsidP="00A6749C">
      <w:pPr>
        <w:suppressAutoHyphens/>
        <w:jc w:val="both"/>
        <w:rPr>
          <w:rFonts w:eastAsia="Times New Roman"/>
          <w:kern w:val="2"/>
          <w:lang w:eastAsia="ar-SA"/>
        </w:rPr>
      </w:pPr>
    </w:p>
    <w:p w14:paraId="2B47CC9B" w14:textId="3DDCCB03" w:rsidR="008B5978" w:rsidRPr="008D1370" w:rsidRDefault="008B5978" w:rsidP="007E730C">
      <w:pPr>
        <w:rPr>
          <w:rFonts w:eastAsiaTheme="minorEastAsia"/>
          <w:b/>
          <w:color w:val="FF0000"/>
          <w:lang w:eastAsia="ja-JP"/>
        </w:rPr>
      </w:pPr>
    </w:p>
    <w:p w14:paraId="1AA9FFB9" w14:textId="77777777" w:rsidR="00DA7595" w:rsidRPr="0088765E" w:rsidRDefault="00C357AD" w:rsidP="001B790A">
      <w:pPr>
        <w:ind w:firstLineChars="150" w:firstLine="360"/>
        <w:jc w:val="center"/>
        <w:rPr>
          <w:snapToGrid w:val="0"/>
        </w:rPr>
      </w:pPr>
      <w:r w:rsidRPr="0088765E">
        <w:t>____________</w:t>
      </w:r>
    </w:p>
    <w:sectPr w:rsidR="00DA7595" w:rsidRPr="0088765E" w:rsidSect="00CD0576">
      <w:headerReference w:type="default" r:id="rId13"/>
      <w:footerReference w:type="even" r:id="rId14"/>
      <w:footerReference w:type="default" r:id="rId15"/>
      <w:footerReference w:type="first" r:id="rId16"/>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7DB91" w14:textId="77777777" w:rsidR="00F07AD5" w:rsidRDefault="00F07AD5">
      <w:r>
        <w:separator/>
      </w:r>
    </w:p>
  </w:endnote>
  <w:endnote w:type="continuationSeparator" w:id="0">
    <w:p w14:paraId="3B5370A4" w14:textId="77777777" w:rsidR="00F07AD5" w:rsidRDefault="00F0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7BD08" w14:textId="77777777" w:rsidR="0097693B" w:rsidRDefault="0097693B"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BB48C" w14:textId="77777777" w:rsidR="0097693B" w:rsidRDefault="0097693B"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EA496" w14:textId="1BF94CE8" w:rsidR="0097693B" w:rsidRDefault="00A44D96" w:rsidP="00A44D96">
    <w:pPr>
      <w:pStyle w:val="Footer"/>
      <w:ind w:right="360"/>
    </w:pPr>
    <w:r>
      <w:rPr>
        <w:rFonts w:hint="eastAsia"/>
        <w:lang w:eastAsia="ko-KR"/>
      </w:rPr>
      <w:t>A</w:t>
    </w:r>
    <w:r>
      <w:rPr>
        <w:lang w:eastAsia="ko-KR"/>
      </w:rPr>
      <w:t>PG</w:t>
    </w:r>
    <w:r w:rsidR="00AB27B7">
      <w:rPr>
        <w:lang w:eastAsia="ko-KR"/>
      </w:rPr>
      <w:t>23</w:t>
    </w:r>
    <w:r>
      <w:rPr>
        <w:rFonts w:hint="eastAsia"/>
        <w:lang w:eastAsia="ko-KR"/>
      </w:rPr>
      <w:t>-</w:t>
    </w:r>
    <w:r w:rsidR="00AB27B7">
      <w:rPr>
        <w:lang w:eastAsia="ko-KR"/>
      </w:rPr>
      <w:t>2</w:t>
    </w:r>
    <w:r>
      <w:rPr>
        <w:rFonts w:hint="eastAsia"/>
        <w:lang w:eastAsia="ko-KR"/>
      </w:rPr>
      <w:t>/</w:t>
    </w:r>
    <w:r>
      <w:rPr>
        <w:lang w:eastAsia="ko-KR"/>
      </w:rPr>
      <w:t>IN</w:t>
    </w:r>
    <w:r>
      <w:rPr>
        <w:rFonts w:eastAsiaTheme="minorEastAsia" w:hint="eastAsia"/>
        <w:lang w:eastAsia="ja-JP"/>
      </w:rPr>
      <w:t>F</w:t>
    </w:r>
    <w:r>
      <w:rPr>
        <w:lang w:eastAsia="ko-KR"/>
      </w:rPr>
      <w:t xml:space="preserve">- </w:t>
    </w:r>
    <w:r w:rsidR="00176D41">
      <w:rPr>
        <w:lang w:eastAsia="ko-KR"/>
      </w:rPr>
      <w:t>23</w:t>
    </w:r>
    <w:r>
      <w:rPr>
        <w:lang w:eastAsia="ko-KR"/>
      </w:rPr>
      <w:tab/>
    </w:r>
    <w:r>
      <w:rPr>
        <w:lang w:eastAsia="ko-KR"/>
      </w:rPr>
      <w:tab/>
    </w:r>
    <w:r w:rsidR="002C7EA9" w:rsidRPr="002C7EA9">
      <w:rPr>
        <w:rStyle w:val="PageNumber"/>
      </w:rPr>
      <w:t xml:space="preserve">Page </w:t>
    </w:r>
    <w:r w:rsidR="002C7EA9" w:rsidRPr="002C7EA9">
      <w:rPr>
        <w:rStyle w:val="PageNumber"/>
      </w:rPr>
      <w:fldChar w:fldCharType="begin"/>
    </w:r>
    <w:r w:rsidR="002C7EA9" w:rsidRPr="002C7EA9">
      <w:rPr>
        <w:rStyle w:val="PageNumber"/>
      </w:rPr>
      <w:instrText xml:space="preserve"> PAGE </w:instrText>
    </w:r>
    <w:r w:rsidR="002C7EA9" w:rsidRPr="002C7EA9">
      <w:rPr>
        <w:rStyle w:val="PageNumber"/>
      </w:rPr>
      <w:fldChar w:fldCharType="separate"/>
    </w:r>
    <w:r w:rsidR="00CD0576">
      <w:rPr>
        <w:rStyle w:val="PageNumber"/>
        <w:noProof/>
      </w:rPr>
      <w:t>9</w:t>
    </w:r>
    <w:r w:rsidR="002C7EA9" w:rsidRPr="002C7EA9">
      <w:rPr>
        <w:rStyle w:val="PageNumber"/>
      </w:rPr>
      <w:fldChar w:fldCharType="end"/>
    </w:r>
    <w:r w:rsidR="002C7EA9" w:rsidRPr="002C7EA9">
      <w:rPr>
        <w:rStyle w:val="PageNumber"/>
      </w:rPr>
      <w:t xml:space="preserve"> of </w:t>
    </w:r>
    <w:r w:rsidR="002C7EA9" w:rsidRPr="002C7EA9">
      <w:rPr>
        <w:rStyle w:val="PageNumber"/>
      </w:rPr>
      <w:fldChar w:fldCharType="begin"/>
    </w:r>
    <w:r w:rsidR="002C7EA9" w:rsidRPr="002C7EA9">
      <w:rPr>
        <w:rStyle w:val="PageNumber"/>
      </w:rPr>
      <w:instrText xml:space="preserve"> NUMPAGES </w:instrText>
    </w:r>
    <w:r w:rsidR="002C7EA9" w:rsidRPr="002C7EA9">
      <w:rPr>
        <w:rStyle w:val="PageNumber"/>
      </w:rPr>
      <w:fldChar w:fldCharType="separate"/>
    </w:r>
    <w:r w:rsidR="00CD0576">
      <w:rPr>
        <w:rStyle w:val="PageNumber"/>
        <w:noProof/>
      </w:rPr>
      <w:t>9</w:t>
    </w:r>
    <w:r w:rsidR="002C7EA9" w:rsidRPr="002C7EA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jc w:val="center"/>
      <w:tblLayout w:type="fixed"/>
      <w:tblCellMar>
        <w:left w:w="57" w:type="dxa"/>
        <w:right w:w="57" w:type="dxa"/>
      </w:tblCellMar>
      <w:tblLook w:val="0000" w:firstRow="0" w:lastRow="0" w:firstColumn="0" w:lastColumn="0" w:noHBand="0" w:noVBand="0"/>
    </w:tblPr>
    <w:tblGrid>
      <w:gridCol w:w="1617"/>
      <w:gridCol w:w="4782"/>
      <w:gridCol w:w="3524"/>
    </w:tblGrid>
    <w:tr w:rsidR="0097693B" w14:paraId="19A79315" w14:textId="77777777" w:rsidTr="00C616C3">
      <w:trPr>
        <w:cantSplit/>
        <w:trHeight w:val="537"/>
        <w:jc w:val="center"/>
      </w:trPr>
      <w:tc>
        <w:tcPr>
          <w:tcW w:w="1617" w:type="dxa"/>
          <w:tcBorders>
            <w:top w:val="single" w:sz="12" w:space="0" w:color="auto"/>
          </w:tcBorders>
        </w:tcPr>
        <w:p w14:paraId="6311F56D" w14:textId="77777777" w:rsidR="0097693B" w:rsidRPr="00155F6B" w:rsidRDefault="0097693B" w:rsidP="00762576">
          <w:pPr>
            <w:rPr>
              <w:b/>
              <w:bCs/>
            </w:rPr>
          </w:pPr>
          <w:r w:rsidRPr="00155F6B">
            <w:rPr>
              <w:b/>
              <w:bCs/>
            </w:rPr>
            <w:t>Contact:</w:t>
          </w:r>
        </w:p>
      </w:tc>
      <w:tc>
        <w:tcPr>
          <w:tcW w:w="4782" w:type="dxa"/>
          <w:tcBorders>
            <w:top w:val="single" w:sz="12" w:space="0" w:color="auto"/>
          </w:tcBorders>
        </w:tcPr>
        <w:p w14:paraId="4301384E" w14:textId="0156A14C" w:rsidR="00C616C3" w:rsidRPr="009D077E" w:rsidRDefault="008433FD" w:rsidP="00C616C3">
          <w:pPr>
            <w:pStyle w:val="Equation"/>
            <w:tabs>
              <w:tab w:val="clear" w:pos="4820"/>
              <w:tab w:val="clear" w:pos="9639"/>
              <w:tab w:val="left" w:pos="1191"/>
              <w:tab w:val="left" w:pos="1588"/>
              <w:tab w:val="left" w:pos="1985"/>
            </w:tabs>
            <w:spacing w:beforeLines="0"/>
            <w:jc w:val="both"/>
            <w:rPr>
              <w:lang w:eastAsia="ja-JP"/>
            </w:rPr>
          </w:pPr>
          <w:r>
            <w:rPr>
              <w:lang w:eastAsia="ja-JP"/>
            </w:rPr>
            <w:t>KEN YAMAMOTO</w:t>
          </w:r>
        </w:p>
        <w:p w14:paraId="20D9DCC8" w14:textId="77777777" w:rsidR="0097693B" w:rsidRPr="00155F6B" w:rsidRDefault="00C616C3" w:rsidP="00C616C3">
          <w:pPr>
            <w:pStyle w:val="Equation"/>
            <w:tabs>
              <w:tab w:val="clear" w:pos="4820"/>
              <w:tab w:val="clear" w:pos="9639"/>
              <w:tab w:val="left" w:pos="1191"/>
              <w:tab w:val="left" w:pos="1588"/>
              <w:tab w:val="left" w:pos="1985"/>
            </w:tabs>
            <w:spacing w:beforeLines="0" w:before="0"/>
            <w:jc w:val="both"/>
            <w:rPr>
              <w:rFonts w:eastAsia="Batang"/>
              <w:szCs w:val="24"/>
            </w:rPr>
          </w:pPr>
          <w:r>
            <w:t>International Amateur R</w:t>
          </w:r>
          <w:r>
            <w:rPr>
              <w:lang w:eastAsia="ja-JP"/>
            </w:rPr>
            <w:t xml:space="preserve">adio </w:t>
          </w:r>
          <w:r>
            <w:t>U</w:t>
          </w:r>
          <w:r>
            <w:rPr>
              <w:lang w:eastAsia="ja-JP"/>
            </w:rPr>
            <w:t>nion,</w:t>
          </w:r>
          <w:r>
            <w:t xml:space="preserve"> Region 3</w:t>
          </w:r>
        </w:p>
      </w:tc>
      <w:tc>
        <w:tcPr>
          <w:tcW w:w="3524" w:type="dxa"/>
          <w:tcBorders>
            <w:top w:val="single" w:sz="12" w:space="0" w:color="auto"/>
          </w:tcBorders>
        </w:tcPr>
        <w:p w14:paraId="60F7B354" w14:textId="73768BFD" w:rsidR="0097693B" w:rsidRPr="00155F6B" w:rsidRDefault="00C616C3" w:rsidP="00762576">
          <w:pPr>
            <w:rPr>
              <w:lang w:eastAsia="ja-JP"/>
            </w:rPr>
          </w:pPr>
          <w:r>
            <w:t xml:space="preserve">Email: </w:t>
          </w:r>
          <w:r w:rsidR="008433FD">
            <w:t>ken</w:t>
          </w:r>
          <w:r>
            <w:t>@iaru-r3.org</w:t>
          </w:r>
        </w:p>
      </w:tc>
    </w:tr>
  </w:tbl>
  <w:p w14:paraId="4CC23FE1" w14:textId="77777777" w:rsidR="0097693B" w:rsidRDefault="0097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A8D8C" w14:textId="77777777" w:rsidR="00F07AD5" w:rsidRDefault="00F07AD5">
      <w:r>
        <w:separator/>
      </w:r>
    </w:p>
  </w:footnote>
  <w:footnote w:type="continuationSeparator" w:id="0">
    <w:p w14:paraId="51ED7CA0" w14:textId="77777777" w:rsidR="00F07AD5" w:rsidRDefault="00F0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D451" w14:textId="0DE88E79" w:rsidR="0097693B" w:rsidRDefault="0097693B" w:rsidP="00C15633">
    <w:pPr>
      <w:pStyle w:val="Header"/>
      <w:tabs>
        <w:tab w:val="center" w:pos="4763"/>
        <w:tab w:val="left" w:pos="5820"/>
      </w:tabs>
      <w:rPr>
        <w:lang w:eastAsia="ko-KR"/>
      </w:rPr>
    </w:pPr>
    <w:r>
      <w:rPr>
        <w:lang w:eastAsia="ko-KR"/>
      </w:rPr>
      <w:tab/>
    </w:r>
  </w:p>
  <w:p w14:paraId="1370E4A5" w14:textId="77777777" w:rsidR="0097693B" w:rsidRDefault="0097693B"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5985"/>
    <w:multiLevelType w:val="hybridMultilevel"/>
    <w:tmpl w:val="05E81308"/>
    <w:lvl w:ilvl="0" w:tplc="55F04DDA">
      <w:start w:val="3"/>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3"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4"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72C7D48"/>
    <w:multiLevelType w:val="hybridMultilevel"/>
    <w:tmpl w:val="2174D904"/>
    <w:lvl w:ilvl="0" w:tplc="55F04DDA">
      <w:start w:val="3"/>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466D1845"/>
    <w:multiLevelType w:val="hybridMultilevel"/>
    <w:tmpl w:val="89F64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670618"/>
    <w:multiLevelType w:val="hybridMultilevel"/>
    <w:tmpl w:val="CB0ACE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3016E6"/>
    <w:multiLevelType w:val="hybridMultilevel"/>
    <w:tmpl w:val="B64E59E0"/>
    <w:lvl w:ilvl="0" w:tplc="7D0CD3BE">
      <w:numFmt w:val="bullet"/>
      <w:lvlText w:val="-"/>
      <w:lvlJc w:val="left"/>
      <w:pPr>
        <w:ind w:left="928" w:hanging="360"/>
      </w:pPr>
      <w:rPr>
        <w:rFonts w:ascii="Times New Roman" w:eastAsia="MS Mincho" w:hAnsi="Times New Roman" w:cs="Times New Roman" w:hint="default"/>
        <w:sz w:val="24"/>
      </w:rPr>
    </w:lvl>
    <w:lvl w:ilvl="1" w:tplc="0409000B" w:tentative="1">
      <w:start w:val="1"/>
      <w:numFmt w:val="bullet"/>
      <w:lvlText w:val=""/>
      <w:lvlJc w:val="left"/>
      <w:pPr>
        <w:ind w:left="971" w:hanging="420"/>
      </w:pPr>
      <w:rPr>
        <w:rFonts w:ascii="Wingdings" w:hAnsi="Wingdings" w:hint="default"/>
      </w:rPr>
    </w:lvl>
    <w:lvl w:ilvl="2" w:tplc="0409000D" w:tentative="1">
      <w:start w:val="1"/>
      <w:numFmt w:val="bullet"/>
      <w:lvlText w:val=""/>
      <w:lvlJc w:val="left"/>
      <w:pPr>
        <w:ind w:left="1391" w:hanging="420"/>
      </w:pPr>
      <w:rPr>
        <w:rFonts w:ascii="Wingdings" w:hAnsi="Wingdings" w:hint="default"/>
      </w:rPr>
    </w:lvl>
    <w:lvl w:ilvl="3" w:tplc="04090001" w:tentative="1">
      <w:start w:val="1"/>
      <w:numFmt w:val="bullet"/>
      <w:lvlText w:val=""/>
      <w:lvlJc w:val="left"/>
      <w:pPr>
        <w:ind w:left="1811" w:hanging="420"/>
      </w:pPr>
      <w:rPr>
        <w:rFonts w:ascii="Wingdings" w:hAnsi="Wingdings" w:hint="default"/>
      </w:rPr>
    </w:lvl>
    <w:lvl w:ilvl="4" w:tplc="0409000B" w:tentative="1">
      <w:start w:val="1"/>
      <w:numFmt w:val="bullet"/>
      <w:lvlText w:val=""/>
      <w:lvlJc w:val="left"/>
      <w:pPr>
        <w:ind w:left="2231" w:hanging="420"/>
      </w:pPr>
      <w:rPr>
        <w:rFonts w:ascii="Wingdings" w:hAnsi="Wingdings" w:hint="default"/>
      </w:rPr>
    </w:lvl>
    <w:lvl w:ilvl="5" w:tplc="0409000D" w:tentative="1">
      <w:start w:val="1"/>
      <w:numFmt w:val="bullet"/>
      <w:lvlText w:val=""/>
      <w:lvlJc w:val="left"/>
      <w:pPr>
        <w:ind w:left="2651" w:hanging="420"/>
      </w:pPr>
      <w:rPr>
        <w:rFonts w:ascii="Wingdings" w:hAnsi="Wingdings" w:hint="default"/>
      </w:rPr>
    </w:lvl>
    <w:lvl w:ilvl="6" w:tplc="04090001" w:tentative="1">
      <w:start w:val="1"/>
      <w:numFmt w:val="bullet"/>
      <w:lvlText w:val=""/>
      <w:lvlJc w:val="left"/>
      <w:pPr>
        <w:ind w:left="3071" w:hanging="420"/>
      </w:pPr>
      <w:rPr>
        <w:rFonts w:ascii="Wingdings" w:hAnsi="Wingdings" w:hint="default"/>
      </w:rPr>
    </w:lvl>
    <w:lvl w:ilvl="7" w:tplc="0409000B" w:tentative="1">
      <w:start w:val="1"/>
      <w:numFmt w:val="bullet"/>
      <w:lvlText w:val=""/>
      <w:lvlJc w:val="left"/>
      <w:pPr>
        <w:ind w:left="3491" w:hanging="420"/>
      </w:pPr>
      <w:rPr>
        <w:rFonts w:ascii="Wingdings" w:hAnsi="Wingdings" w:hint="default"/>
      </w:rPr>
    </w:lvl>
    <w:lvl w:ilvl="8" w:tplc="0409000D" w:tentative="1">
      <w:start w:val="1"/>
      <w:numFmt w:val="bullet"/>
      <w:lvlText w:val=""/>
      <w:lvlJc w:val="left"/>
      <w:pPr>
        <w:ind w:left="3911" w:hanging="420"/>
      </w:pPr>
      <w:rPr>
        <w:rFonts w:ascii="Wingdings" w:hAnsi="Wingdings" w:hint="default"/>
      </w:rPr>
    </w:lvl>
  </w:abstractNum>
  <w:abstractNum w:abstractNumId="12"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75133AAC"/>
    <w:multiLevelType w:val="hybridMultilevel"/>
    <w:tmpl w:val="A126D81C"/>
    <w:lvl w:ilvl="0" w:tplc="A796AD3E">
      <w:start w:val="1"/>
      <w:numFmt w:val="decimal"/>
      <w:lvlText w:val="(%1)"/>
      <w:lvlJc w:val="left"/>
      <w:pPr>
        <w:ind w:left="360" w:hanging="360"/>
      </w:pPr>
      <w:rPr>
        <w:rFonts w:eastAsia="BatangCh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3"/>
  </w:num>
  <w:num w:numId="4">
    <w:abstractNumId w:val="12"/>
  </w:num>
  <w:num w:numId="5">
    <w:abstractNumId w:val="6"/>
  </w:num>
  <w:num w:numId="6">
    <w:abstractNumId w:val="8"/>
  </w:num>
  <w:num w:numId="7">
    <w:abstractNumId w:val="2"/>
  </w:num>
  <w:num w:numId="8">
    <w:abstractNumId w:val="1"/>
  </w:num>
  <w:num w:numId="9">
    <w:abstractNumId w:val="10"/>
  </w:num>
  <w:num w:numId="10">
    <w:abstractNumId w:val="11"/>
  </w:num>
  <w:num w:numId="11">
    <w:abstractNumId w:val="0"/>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33"/>
    <w:rsid w:val="0000354C"/>
    <w:rsid w:val="00006752"/>
    <w:rsid w:val="00007CD8"/>
    <w:rsid w:val="00007D20"/>
    <w:rsid w:val="00010740"/>
    <w:rsid w:val="00010EE1"/>
    <w:rsid w:val="00017DF6"/>
    <w:rsid w:val="0002566D"/>
    <w:rsid w:val="00026BB7"/>
    <w:rsid w:val="00027C2C"/>
    <w:rsid w:val="000313F0"/>
    <w:rsid w:val="0003595B"/>
    <w:rsid w:val="00040288"/>
    <w:rsid w:val="0004082F"/>
    <w:rsid w:val="00041F5E"/>
    <w:rsid w:val="00043DCD"/>
    <w:rsid w:val="0005235C"/>
    <w:rsid w:val="0005659D"/>
    <w:rsid w:val="00056AB8"/>
    <w:rsid w:val="00057F6F"/>
    <w:rsid w:val="00064084"/>
    <w:rsid w:val="00066BC8"/>
    <w:rsid w:val="000713CF"/>
    <w:rsid w:val="0007176A"/>
    <w:rsid w:val="00072EF7"/>
    <w:rsid w:val="00073079"/>
    <w:rsid w:val="00074E24"/>
    <w:rsid w:val="00076D0F"/>
    <w:rsid w:val="00085FDE"/>
    <w:rsid w:val="00086999"/>
    <w:rsid w:val="000873F9"/>
    <w:rsid w:val="00095647"/>
    <w:rsid w:val="00096326"/>
    <w:rsid w:val="000A34A9"/>
    <w:rsid w:val="000A5111"/>
    <w:rsid w:val="000A5418"/>
    <w:rsid w:val="000A5C23"/>
    <w:rsid w:val="000A6E73"/>
    <w:rsid w:val="000A79E4"/>
    <w:rsid w:val="000B01E1"/>
    <w:rsid w:val="000B0E45"/>
    <w:rsid w:val="000B2086"/>
    <w:rsid w:val="000B249C"/>
    <w:rsid w:val="000C61D1"/>
    <w:rsid w:val="000D04F1"/>
    <w:rsid w:val="000D0FA3"/>
    <w:rsid w:val="000D2CCD"/>
    <w:rsid w:val="000D4E6C"/>
    <w:rsid w:val="000D4F7C"/>
    <w:rsid w:val="000D57C3"/>
    <w:rsid w:val="000E1199"/>
    <w:rsid w:val="000E5631"/>
    <w:rsid w:val="000E7FBA"/>
    <w:rsid w:val="000F517C"/>
    <w:rsid w:val="000F5540"/>
    <w:rsid w:val="000F7F79"/>
    <w:rsid w:val="00102861"/>
    <w:rsid w:val="00103073"/>
    <w:rsid w:val="00107D28"/>
    <w:rsid w:val="00110026"/>
    <w:rsid w:val="001109D6"/>
    <w:rsid w:val="00112CF9"/>
    <w:rsid w:val="00112F69"/>
    <w:rsid w:val="001132AE"/>
    <w:rsid w:val="0012380F"/>
    <w:rsid w:val="001343CF"/>
    <w:rsid w:val="00143F62"/>
    <w:rsid w:val="00144792"/>
    <w:rsid w:val="0015099C"/>
    <w:rsid w:val="001539DD"/>
    <w:rsid w:val="00155F6B"/>
    <w:rsid w:val="00162695"/>
    <w:rsid w:val="001632FC"/>
    <w:rsid w:val="00165A44"/>
    <w:rsid w:val="00165F0B"/>
    <w:rsid w:val="00170422"/>
    <w:rsid w:val="00173A85"/>
    <w:rsid w:val="0017691B"/>
    <w:rsid w:val="00176D41"/>
    <w:rsid w:val="0018064C"/>
    <w:rsid w:val="0019199D"/>
    <w:rsid w:val="00191BE8"/>
    <w:rsid w:val="0019257F"/>
    <w:rsid w:val="0019529F"/>
    <w:rsid w:val="00196568"/>
    <w:rsid w:val="001A2F16"/>
    <w:rsid w:val="001A41C1"/>
    <w:rsid w:val="001B184A"/>
    <w:rsid w:val="001B18C2"/>
    <w:rsid w:val="001B20DC"/>
    <w:rsid w:val="001B500F"/>
    <w:rsid w:val="001B790A"/>
    <w:rsid w:val="001C05F4"/>
    <w:rsid w:val="001C0ED5"/>
    <w:rsid w:val="001C52CC"/>
    <w:rsid w:val="001C6F27"/>
    <w:rsid w:val="001D01AB"/>
    <w:rsid w:val="001D0C22"/>
    <w:rsid w:val="001D0C40"/>
    <w:rsid w:val="001D2306"/>
    <w:rsid w:val="001D2412"/>
    <w:rsid w:val="001D5D7E"/>
    <w:rsid w:val="001E0684"/>
    <w:rsid w:val="001E2839"/>
    <w:rsid w:val="001E77ED"/>
    <w:rsid w:val="001F3EC6"/>
    <w:rsid w:val="001F4AF3"/>
    <w:rsid w:val="001F6733"/>
    <w:rsid w:val="00211050"/>
    <w:rsid w:val="002133A7"/>
    <w:rsid w:val="00217378"/>
    <w:rsid w:val="002173B2"/>
    <w:rsid w:val="0022533B"/>
    <w:rsid w:val="00230DB9"/>
    <w:rsid w:val="00231E6C"/>
    <w:rsid w:val="002322B2"/>
    <w:rsid w:val="002361DB"/>
    <w:rsid w:val="00240D0A"/>
    <w:rsid w:val="00244655"/>
    <w:rsid w:val="00254A1B"/>
    <w:rsid w:val="0026039F"/>
    <w:rsid w:val="00261943"/>
    <w:rsid w:val="002624FF"/>
    <w:rsid w:val="00262BD2"/>
    <w:rsid w:val="00270304"/>
    <w:rsid w:val="0027238A"/>
    <w:rsid w:val="00275123"/>
    <w:rsid w:val="00276544"/>
    <w:rsid w:val="00281C04"/>
    <w:rsid w:val="002828D1"/>
    <w:rsid w:val="0028454D"/>
    <w:rsid w:val="002867BD"/>
    <w:rsid w:val="002900FB"/>
    <w:rsid w:val="002917B9"/>
    <w:rsid w:val="00291C9E"/>
    <w:rsid w:val="002922BE"/>
    <w:rsid w:val="002926D4"/>
    <w:rsid w:val="00293584"/>
    <w:rsid w:val="0029403F"/>
    <w:rsid w:val="002A4157"/>
    <w:rsid w:val="002A51BF"/>
    <w:rsid w:val="002B13C2"/>
    <w:rsid w:val="002B5EE8"/>
    <w:rsid w:val="002C07DA"/>
    <w:rsid w:val="002C7EA9"/>
    <w:rsid w:val="002D3674"/>
    <w:rsid w:val="002D53CB"/>
    <w:rsid w:val="002D688D"/>
    <w:rsid w:val="002D7209"/>
    <w:rsid w:val="002D7EBA"/>
    <w:rsid w:val="002E0FF2"/>
    <w:rsid w:val="002E1E68"/>
    <w:rsid w:val="002E3046"/>
    <w:rsid w:val="002E3304"/>
    <w:rsid w:val="002E3C16"/>
    <w:rsid w:val="002E4CC6"/>
    <w:rsid w:val="002E6F84"/>
    <w:rsid w:val="002E7BDF"/>
    <w:rsid w:val="002F3501"/>
    <w:rsid w:val="002F65A4"/>
    <w:rsid w:val="002F762F"/>
    <w:rsid w:val="0030029A"/>
    <w:rsid w:val="00303B80"/>
    <w:rsid w:val="003041AA"/>
    <w:rsid w:val="003116C8"/>
    <w:rsid w:val="00324AEF"/>
    <w:rsid w:val="003252E2"/>
    <w:rsid w:val="00330272"/>
    <w:rsid w:val="00330A09"/>
    <w:rsid w:val="003317B7"/>
    <w:rsid w:val="003318F2"/>
    <w:rsid w:val="00332540"/>
    <w:rsid w:val="0033573F"/>
    <w:rsid w:val="003416DA"/>
    <w:rsid w:val="00341B81"/>
    <w:rsid w:val="00342773"/>
    <w:rsid w:val="00342F20"/>
    <w:rsid w:val="0034388E"/>
    <w:rsid w:val="0034498D"/>
    <w:rsid w:val="00351F44"/>
    <w:rsid w:val="00353BFC"/>
    <w:rsid w:val="0036007E"/>
    <w:rsid w:val="0036365B"/>
    <w:rsid w:val="00365369"/>
    <w:rsid w:val="0036684B"/>
    <w:rsid w:val="00371231"/>
    <w:rsid w:val="00371351"/>
    <w:rsid w:val="00372D7F"/>
    <w:rsid w:val="003764E1"/>
    <w:rsid w:val="0037700B"/>
    <w:rsid w:val="003801ED"/>
    <w:rsid w:val="003809C7"/>
    <w:rsid w:val="00382031"/>
    <w:rsid w:val="003905D5"/>
    <w:rsid w:val="00390BF4"/>
    <w:rsid w:val="0039409A"/>
    <w:rsid w:val="003965AB"/>
    <w:rsid w:val="00397F0F"/>
    <w:rsid w:val="003A3E5D"/>
    <w:rsid w:val="003A4356"/>
    <w:rsid w:val="003A5A16"/>
    <w:rsid w:val="003A5FB5"/>
    <w:rsid w:val="003B1C05"/>
    <w:rsid w:val="003B524A"/>
    <w:rsid w:val="003B5F0E"/>
    <w:rsid w:val="003B6263"/>
    <w:rsid w:val="003B6868"/>
    <w:rsid w:val="003C4FE5"/>
    <w:rsid w:val="003C64A7"/>
    <w:rsid w:val="003C7721"/>
    <w:rsid w:val="003D3EF5"/>
    <w:rsid w:val="003D3FDA"/>
    <w:rsid w:val="003D51B4"/>
    <w:rsid w:val="003E0C21"/>
    <w:rsid w:val="003E27EC"/>
    <w:rsid w:val="00400214"/>
    <w:rsid w:val="00404D58"/>
    <w:rsid w:val="00405742"/>
    <w:rsid w:val="004066C6"/>
    <w:rsid w:val="00420822"/>
    <w:rsid w:val="00420BD8"/>
    <w:rsid w:val="0042740F"/>
    <w:rsid w:val="00427FE1"/>
    <w:rsid w:val="00442DD7"/>
    <w:rsid w:val="0045319A"/>
    <w:rsid w:val="0045334B"/>
    <w:rsid w:val="0045458F"/>
    <w:rsid w:val="0045558B"/>
    <w:rsid w:val="00456C94"/>
    <w:rsid w:val="004633B4"/>
    <w:rsid w:val="00464659"/>
    <w:rsid w:val="004658ED"/>
    <w:rsid w:val="004718A5"/>
    <w:rsid w:val="004760F4"/>
    <w:rsid w:val="004827D1"/>
    <w:rsid w:val="004912BD"/>
    <w:rsid w:val="00492AC8"/>
    <w:rsid w:val="004937EF"/>
    <w:rsid w:val="00495D14"/>
    <w:rsid w:val="004A13A8"/>
    <w:rsid w:val="004A3595"/>
    <w:rsid w:val="004A4761"/>
    <w:rsid w:val="004A6977"/>
    <w:rsid w:val="004B253A"/>
    <w:rsid w:val="004B3553"/>
    <w:rsid w:val="004B6D7E"/>
    <w:rsid w:val="004C5B2C"/>
    <w:rsid w:val="004D1674"/>
    <w:rsid w:val="004D1CCC"/>
    <w:rsid w:val="004D254B"/>
    <w:rsid w:val="004D42D3"/>
    <w:rsid w:val="004D4F0F"/>
    <w:rsid w:val="004D633A"/>
    <w:rsid w:val="004E21B6"/>
    <w:rsid w:val="004E3773"/>
    <w:rsid w:val="004E656A"/>
    <w:rsid w:val="004E7EB0"/>
    <w:rsid w:val="004F2E0D"/>
    <w:rsid w:val="004F6375"/>
    <w:rsid w:val="004F6906"/>
    <w:rsid w:val="004F75DD"/>
    <w:rsid w:val="005034BF"/>
    <w:rsid w:val="00504108"/>
    <w:rsid w:val="00505E25"/>
    <w:rsid w:val="005072AD"/>
    <w:rsid w:val="00507692"/>
    <w:rsid w:val="005137C2"/>
    <w:rsid w:val="00514BDE"/>
    <w:rsid w:val="00517BCB"/>
    <w:rsid w:val="00517CB5"/>
    <w:rsid w:val="00517D07"/>
    <w:rsid w:val="005215C6"/>
    <w:rsid w:val="00522F5E"/>
    <w:rsid w:val="00523076"/>
    <w:rsid w:val="00523581"/>
    <w:rsid w:val="00524F74"/>
    <w:rsid w:val="00525950"/>
    <w:rsid w:val="0052658B"/>
    <w:rsid w:val="00530E8C"/>
    <w:rsid w:val="00534344"/>
    <w:rsid w:val="005375FA"/>
    <w:rsid w:val="00540444"/>
    <w:rsid w:val="00540F80"/>
    <w:rsid w:val="0054257F"/>
    <w:rsid w:val="00543CC3"/>
    <w:rsid w:val="00545933"/>
    <w:rsid w:val="00550E3C"/>
    <w:rsid w:val="00551DA7"/>
    <w:rsid w:val="00552AD1"/>
    <w:rsid w:val="00557544"/>
    <w:rsid w:val="00557A30"/>
    <w:rsid w:val="00566875"/>
    <w:rsid w:val="00570C38"/>
    <w:rsid w:val="005723CB"/>
    <w:rsid w:val="0057652A"/>
    <w:rsid w:val="00583994"/>
    <w:rsid w:val="00587875"/>
    <w:rsid w:val="00590240"/>
    <w:rsid w:val="00591AE2"/>
    <w:rsid w:val="00592A43"/>
    <w:rsid w:val="005A053C"/>
    <w:rsid w:val="005A4C84"/>
    <w:rsid w:val="005A7FF9"/>
    <w:rsid w:val="005C1A12"/>
    <w:rsid w:val="005C7999"/>
    <w:rsid w:val="005D0712"/>
    <w:rsid w:val="005D1161"/>
    <w:rsid w:val="005E100E"/>
    <w:rsid w:val="005E54A3"/>
    <w:rsid w:val="005F1AEA"/>
    <w:rsid w:val="005F594E"/>
    <w:rsid w:val="005F5B8C"/>
    <w:rsid w:val="005F61CF"/>
    <w:rsid w:val="0060348A"/>
    <w:rsid w:val="00604817"/>
    <w:rsid w:val="00604922"/>
    <w:rsid w:val="00605A86"/>
    <w:rsid w:val="00606DE2"/>
    <w:rsid w:val="00607E2B"/>
    <w:rsid w:val="006139D6"/>
    <w:rsid w:val="0061754F"/>
    <w:rsid w:val="00622A06"/>
    <w:rsid w:val="00623CE1"/>
    <w:rsid w:val="00623EA6"/>
    <w:rsid w:val="00625504"/>
    <w:rsid w:val="006257F4"/>
    <w:rsid w:val="00627097"/>
    <w:rsid w:val="0063022A"/>
    <w:rsid w:val="0063062B"/>
    <w:rsid w:val="00641733"/>
    <w:rsid w:val="0064553C"/>
    <w:rsid w:val="00646CE8"/>
    <w:rsid w:val="0064784F"/>
    <w:rsid w:val="00650285"/>
    <w:rsid w:val="00654ACB"/>
    <w:rsid w:val="00656014"/>
    <w:rsid w:val="00661AFA"/>
    <w:rsid w:val="0066502D"/>
    <w:rsid w:val="006668C6"/>
    <w:rsid w:val="00667229"/>
    <w:rsid w:val="006702AB"/>
    <w:rsid w:val="00675ABC"/>
    <w:rsid w:val="00676B86"/>
    <w:rsid w:val="00677212"/>
    <w:rsid w:val="00680F9F"/>
    <w:rsid w:val="00681A69"/>
    <w:rsid w:val="00682BE5"/>
    <w:rsid w:val="0068320B"/>
    <w:rsid w:val="00690FED"/>
    <w:rsid w:val="006916D9"/>
    <w:rsid w:val="00691CFD"/>
    <w:rsid w:val="006939A5"/>
    <w:rsid w:val="006A6DB7"/>
    <w:rsid w:val="006A7140"/>
    <w:rsid w:val="006B2BF0"/>
    <w:rsid w:val="006B4E9C"/>
    <w:rsid w:val="006B5844"/>
    <w:rsid w:val="006B59EA"/>
    <w:rsid w:val="006B7152"/>
    <w:rsid w:val="006B7521"/>
    <w:rsid w:val="006B7A4C"/>
    <w:rsid w:val="006C055E"/>
    <w:rsid w:val="006C1151"/>
    <w:rsid w:val="006C1A05"/>
    <w:rsid w:val="006C3F71"/>
    <w:rsid w:val="006C4AD5"/>
    <w:rsid w:val="006C7FFD"/>
    <w:rsid w:val="006D1A97"/>
    <w:rsid w:val="006D2D10"/>
    <w:rsid w:val="006D59E8"/>
    <w:rsid w:val="006F1CAD"/>
    <w:rsid w:val="006F2E8D"/>
    <w:rsid w:val="006F5AF8"/>
    <w:rsid w:val="00700D9B"/>
    <w:rsid w:val="00705A05"/>
    <w:rsid w:val="00710CAF"/>
    <w:rsid w:val="007120AA"/>
    <w:rsid w:val="00712451"/>
    <w:rsid w:val="00713089"/>
    <w:rsid w:val="007162EB"/>
    <w:rsid w:val="00717035"/>
    <w:rsid w:val="00721A37"/>
    <w:rsid w:val="007233C6"/>
    <w:rsid w:val="00724E4B"/>
    <w:rsid w:val="00731041"/>
    <w:rsid w:val="00732F08"/>
    <w:rsid w:val="00734047"/>
    <w:rsid w:val="007342EE"/>
    <w:rsid w:val="00734862"/>
    <w:rsid w:val="007403B1"/>
    <w:rsid w:val="0074190C"/>
    <w:rsid w:val="00743C03"/>
    <w:rsid w:val="007449D8"/>
    <w:rsid w:val="0075077E"/>
    <w:rsid w:val="00757ABC"/>
    <w:rsid w:val="00762576"/>
    <w:rsid w:val="00770B2F"/>
    <w:rsid w:val="00770D29"/>
    <w:rsid w:val="007737EF"/>
    <w:rsid w:val="00774FD3"/>
    <w:rsid w:val="00782F92"/>
    <w:rsid w:val="007905EC"/>
    <w:rsid w:val="00790B9D"/>
    <w:rsid w:val="00790CDC"/>
    <w:rsid w:val="00791060"/>
    <w:rsid w:val="007A0BB9"/>
    <w:rsid w:val="007B0E6A"/>
    <w:rsid w:val="007B0F0D"/>
    <w:rsid w:val="007B1108"/>
    <w:rsid w:val="007B2A3A"/>
    <w:rsid w:val="007B55F7"/>
    <w:rsid w:val="007B5626"/>
    <w:rsid w:val="007B6B02"/>
    <w:rsid w:val="007B78F5"/>
    <w:rsid w:val="007C36F2"/>
    <w:rsid w:val="007C76B8"/>
    <w:rsid w:val="007D7EF2"/>
    <w:rsid w:val="007E730C"/>
    <w:rsid w:val="007F1931"/>
    <w:rsid w:val="007F20C3"/>
    <w:rsid w:val="008001CD"/>
    <w:rsid w:val="00800AD0"/>
    <w:rsid w:val="00801F69"/>
    <w:rsid w:val="00803839"/>
    <w:rsid w:val="00804724"/>
    <w:rsid w:val="00804E89"/>
    <w:rsid w:val="0080570B"/>
    <w:rsid w:val="00812B30"/>
    <w:rsid w:val="008148E1"/>
    <w:rsid w:val="008209DF"/>
    <w:rsid w:val="008251B2"/>
    <w:rsid w:val="008252DC"/>
    <w:rsid w:val="00825CFD"/>
    <w:rsid w:val="00826B86"/>
    <w:rsid w:val="008319BF"/>
    <w:rsid w:val="0083280D"/>
    <w:rsid w:val="00837749"/>
    <w:rsid w:val="00837A13"/>
    <w:rsid w:val="00842DEF"/>
    <w:rsid w:val="008433FD"/>
    <w:rsid w:val="00852313"/>
    <w:rsid w:val="00852353"/>
    <w:rsid w:val="00853735"/>
    <w:rsid w:val="00854D90"/>
    <w:rsid w:val="0085516D"/>
    <w:rsid w:val="00855282"/>
    <w:rsid w:val="008564FD"/>
    <w:rsid w:val="008612D1"/>
    <w:rsid w:val="00866104"/>
    <w:rsid w:val="00867025"/>
    <w:rsid w:val="008673F7"/>
    <w:rsid w:val="0087032B"/>
    <w:rsid w:val="00872BD1"/>
    <w:rsid w:val="00884DE6"/>
    <w:rsid w:val="0088765E"/>
    <w:rsid w:val="00897DF3"/>
    <w:rsid w:val="008A2BE1"/>
    <w:rsid w:val="008A4349"/>
    <w:rsid w:val="008A5005"/>
    <w:rsid w:val="008B5978"/>
    <w:rsid w:val="008C3103"/>
    <w:rsid w:val="008D0E09"/>
    <w:rsid w:val="008D1370"/>
    <w:rsid w:val="008D3FF3"/>
    <w:rsid w:val="008D53CC"/>
    <w:rsid w:val="008D7999"/>
    <w:rsid w:val="008E04CA"/>
    <w:rsid w:val="008E481C"/>
    <w:rsid w:val="008E58DF"/>
    <w:rsid w:val="008F1E81"/>
    <w:rsid w:val="008F4D8C"/>
    <w:rsid w:val="008F57AC"/>
    <w:rsid w:val="008F67AE"/>
    <w:rsid w:val="009028BB"/>
    <w:rsid w:val="00904C19"/>
    <w:rsid w:val="00905B39"/>
    <w:rsid w:val="00907232"/>
    <w:rsid w:val="00911C42"/>
    <w:rsid w:val="00911CBE"/>
    <w:rsid w:val="009277C8"/>
    <w:rsid w:val="00930180"/>
    <w:rsid w:val="0093270E"/>
    <w:rsid w:val="00933712"/>
    <w:rsid w:val="00935B2D"/>
    <w:rsid w:val="00941314"/>
    <w:rsid w:val="00941D36"/>
    <w:rsid w:val="00943832"/>
    <w:rsid w:val="00945760"/>
    <w:rsid w:val="00950181"/>
    <w:rsid w:val="00951207"/>
    <w:rsid w:val="00953AF0"/>
    <w:rsid w:val="0095772C"/>
    <w:rsid w:val="009626AE"/>
    <w:rsid w:val="00963849"/>
    <w:rsid w:val="00963C3C"/>
    <w:rsid w:val="0096541B"/>
    <w:rsid w:val="0096647A"/>
    <w:rsid w:val="00967099"/>
    <w:rsid w:val="00970137"/>
    <w:rsid w:val="0097030C"/>
    <w:rsid w:val="0097488A"/>
    <w:rsid w:val="00974C25"/>
    <w:rsid w:val="0097511F"/>
    <w:rsid w:val="0097693B"/>
    <w:rsid w:val="009779D3"/>
    <w:rsid w:val="009813E5"/>
    <w:rsid w:val="009817D4"/>
    <w:rsid w:val="0098374B"/>
    <w:rsid w:val="0098719F"/>
    <w:rsid w:val="00987CDB"/>
    <w:rsid w:val="009907F1"/>
    <w:rsid w:val="00992FC3"/>
    <w:rsid w:val="00993355"/>
    <w:rsid w:val="009A33DD"/>
    <w:rsid w:val="009A4A6D"/>
    <w:rsid w:val="009A65A7"/>
    <w:rsid w:val="009C46BD"/>
    <w:rsid w:val="009C48D1"/>
    <w:rsid w:val="009C56E2"/>
    <w:rsid w:val="009C5A9C"/>
    <w:rsid w:val="009D139C"/>
    <w:rsid w:val="009D6B0B"/>
    <w:rsid w:val="009E236E"/>
    <w:rsid w:val="009E2562"/>
    <w:rsid w:val="009E6836"/>
    <w:rsid w:val="009F18CF"/>
    <w:rsid w:val="009F36FB"/>
    <w:rsid w:val="009F3D88"/>
    <w:rsid w:val="009F436E"/>
    <w:rsid w:val="009F542F"/>
    <w:rsid w:val="009F643B"/>
    <w:rsid w:val="009F7069"/>
    <w:rsid w:val="00A0028F"/>
    <w:rsid w:val="00A002B2"/>
    <w:rsid w:val="00A012FC"/>
    <w:rsid w:val="00A020E3"/>
    <w:rsid w:val="00A053DA"/>
    <w:rsid w:val="00A05999"/>
    <w:rsid w:val="00A13265"/>
    <w:rsid w:val="00A15238"/>
    <w:rsid w:val="00A162F7"/>
    <w:rsid w:val="00A177DD"/>
    <w:rsid w:val="00A17EA5"/>
    <w:rsid w:val="00A20826"/>
    <w:rsid w:val="00A2322B"/>
    <w:rsid w:val="00A30BF5"/>
    <w:rsid w:val="00A3702A"/>
    <w:rsid w:val="00A44585"/>
    <w:rsid w:val="00A44D96"/>
    <w:rsid w:val="00A4773F"/>
    <w:rsid w:val="00A60233"/>
    <w:rsid w:val="00A61275"/>
    <w:rsid w:val="00A64424"/>
    <w:rsid w:val="00A64B7D"/>
    <w:rsid w:val="00A6679F"/>
    <w:rsid w:val="00A6749C"/>
    <w:rsid w:val="00A71136"/>
    <w:rsid w:val="00A768D2"/>
    <w:rsid w:val="00A77DBD"/>
    <w:rsid w:val="00A8134B"/>
    <w:rsid w:val="00A85EBB"/>
    <w:rsid w:val="00A96BB9"/>
    <w:rsid w:val="00A97FB4"/>
    <w:rsid w:val="00AA24FB"/>
    <w:rsid w:val="00AA474C"/>
    <w:rsid w:val="00AA579B"/>
    <w:rsid w:val="00AA5D53"/>
    <w:rsid w:val="00AA6CCF"/>
    <w:rsid w:val="00AB192A"/>
    <w:rsid w:val="00AB1B5D"/>
    <w:rsid w:val="00AB22D8"/>
    <w:rsid w:val="00AB27B7"/>
    <w:rsid w:val="00AB4048"/>
    <w:rsid w:val="00AB5B6B"/>
    <w:rsid w:val="00AC03C1"/>
    <w:rsid w:val="00AC067F"/>
    <w:rsid w:val="00AD0CE9"/>
    <w:rsid w:val="00AD7E5F"/>
    <w:rsid w:val="00AE340A"/>
    <w:rsid w:val="00AE5C17"/>
    <w:rsid w:val="00AE678B"/>
    <w:rsid w:val="00AF13D8"/>
    <w:rsid w:val="00AF6943"/>
    <w:rsid w:val="00B00D29"/>
    <w:rsid w:val="00B01AA1"/>
    <w:rsid w:val="00B037FA"/>
    <w:rsid w:val="00B0560A"/>
    <w:rsid w:val="00B13B3F"/>
    <w:rsid w:val="00B17E3C"/>
    <w:rsid w:val="00B24D32"/>
    <w:rsid w:val="00B257EA"/>
    <w:rsid w:val="00B30C81"/>
    <w:rsid w:val="00B34069"/>
    <w:rsid w:val="00B35177"/>
    <w:rsid w:val="00B35BC4"/>
    <w:rsid w:val="00B37202"/>
    <w:rsid w:val="00B4023C"/>
    <w:rsid w:val="00B41590"/>
    <w:rsid w:val="00B445EB"/>
    <w:rsid w:val="00B46305"/>
    <w:rsid w:val="00B46E25"/>
    <w:rsid w:val="00B4793B"/>
    <w:rsid w:val="00B51C2A"/>
    <w:rsid w:val="00B60C4E"/>
    <w:rsid w:val="00B60C81"/>
    <w:rsid w:val="00B64B14"/>
    <w:rsid w:val="00B67F68"/>
    <w:rsid w:val="00B70A38"/>
    <w:rsid w:val="00B722D1"/>
    <w:rsid w:val="00B7560B"/>
    <w:rsid w:val="00B82CD1"/>
    <w:rsid w:val="00B83379"/>
    <w:rsid w:val="00B85078"/>
    <w:rsid w:val="00B86EBB"/>
    <w:rsid w:val="00B919D1"/>
    <w:rsid w:val="00B96550"/>
    <w:rsid w:val="00BA15FD"/>
    <w:rsid w:val="00BA246C"/>
    <w:rsid w:val="00BA3E91"/>
    <w:rsid w:val="00BA4B76"/>
    <w:rsid w:val="00BA6508"/>
    <w:rsid w:val="00BA6A66"/>
    <w:rsid w:val="00BB26A3"/>
    <w:rsid w:val="00BB2CC8"/>
    <w:rsid w:val="00BB32C1"/>
    <w:rsid w:val="00BB44F8"/>
    <w:rsid w:val="00BC10AE"/>
    <w:rsid w:val="00BC543D"/>
    <w:rsid w:val="00BC54C9"/>
    <w:rsid w:val="00BC6804"/>
    <w:rsid w:val="00BC72D4"/>
    <w:rsid w:val="00BC751A"/>
    <w:rsid w:val="00BC76ED"/>
    <w:rsid w:val="00BD40AD"/>
    <w:rsid w:val="00BD4799"/>
    <w:rsid w:val="00BD690B"/>
    <w:rsid w:val="00BD6D79"/>
    <w:rsid w:val="00BE0C25"/>
    <w:rsid w:val="00BE10C1"/>
    <w:rsid w:val="00BE465B"/>
    <w:rsid w:val="00BF0ED8"/>
    <w:rsid w:val="00BF3A09"/>
    <w:rsid w:val="00C0358C"/>
    <w:rsid w:val="00C05821"/>
    <w:rsid w:val="00C0585A"/>
    <w:rsid w:val="00C11278"/>
    <w:rsid w:val="00C12E0C"/>
    <w:rsid w:val="00C15633"/>
    <w:rsid w:val="00C15799"/>
    <w:rsid w:val="00C21299"/>
    <w:rsid w:val="00C21A3E"/>
    <w:rsid w:val="00C2429D"/>
    <w:rsid w:val="00C2696A"/>
    <w:rsid w:val="00C357AD"/>
    <w:rsid w:val="00C361DB"/>
    <w:rsid w:val="00C37E93"/>
    <w:rsid w:val="00C400FD"/>
    <w:rsid w:val="00C436D4"/>
    <w:rsid w:val="00C43726"/>
    <w:rsid w:val="00C44502"/>
    <w:rsid w:val="00C4760F"/>
    <w:rsid w:val="00C47901"/>
    <w:rsid w:val="00C47A31"/>
    <w:rsid w:val="00C52B23"/>
    <w:rsid w:val="00C6069C"/>
    <w:rsid w:val="00C616C3"/>
    <w:rsid w:val="00C621AB"/>
    <w:rsid w:val="00C6272D"/>
    <w:rsid w:val="00C62E77"/>
    <w:rsid w:val="00C6577D"/>
    <w:rsid w:val="00C67B5E"/>
    <w:rsid w:val="00C71697"/>
    <w:rsid w:val="00C71A5B"/>
    <w:rsid w:val="00C71F79"/>
    <w:rsid w:val="00C72965"/>
    <w:rsid w:val="00C72A8A"/>
    <w:rsid w:val="00C80D9B"/>
    <w:rsid w:val="00C840F3"/>
    <w:rsid w:val="00C85119"/>
    <w:rsid w:val="00C85849"/>
    <w:rsid w:val="00C910FB"/>
    <w:rsid w:val="00CA06C1"/>
    <w:rsid w:val="00CA11F4"/>
    <w:rsid w:val="00CA63DA"/>
    <w:rsid w:val="00CC0109"/>
    <w:rsid w:val="00CC0FD3"/>
    <w:rsid w:val="00CC6161"/>
    <w:rsid w:val="00CD0576"/>
    <w:rsid w:val="00CD2BE9"/>
    <w:rsid w:val="00CD3F06"/>
    <w:rsid w:val="00CD5431"/>
    <w:rsid w:val="00CD6006"/>
    <w:rsid w:val="00CF2491"/>
    <w:rsid w:val="00CF36E8"/>
    <w:rsid w:val="00CF3912"/>
    <w:rsid w:val="00CF7D54"/>
    <w:rsid w:val="00D10B35"/>
    <w:rsid w:val="00D11351"/>
    <w:rsid w:val="00D1252E"/>
    <w:rsid w:val="00D125C8"/>
    <w:rsid w:val="00D176EC"/>
    <w:rsid w:val="00D17B47"/>
    <w:rsid w:val="00D235B0"/>
    <w:rsid w:val="00D3473C"/>
    <w:rsid w:val="00D35268"/>
    <w:rsid w:val="00D440DC"/>
    <w:rsid w:val="00D441BA"/>
    <w:rsid w:val="00D443DE"/>
    <w:rsid w:val="00D451C9"/>
    <w:rsid w:val="00D462AA"/>
    <w:rsid w:val="00D54BCE"/>
    <w:rsid w:val="00D57772"/>
    <w:rsid w:val="00D57EEE"/>
    <w:rsid w:val="00D6062A"/>
    <w:rsid w:val="00D64A1F"/>
    <w:rsid w:val="00D65A7C"/>
    <w:rsid w:val="00D6720B"/>
    <w:rsid w:val="00D72AE3"/>
    <w:rsid w:val="00D75A4D"/>
    <w:rsid w:val="00D77229"/>
    <w:rsid w:val="00D80F25"/>
    <w:rsid w:val="00D82F2C"/>
    <w:rsid w:val="00D83D39"/>
    <w:rsid w:val="00D8478B"/>
    <w:rsid w:val="00D86151"/>
    <w:rsid w:val="00D86E20"/>
    <w:rsid w:val="00D91DCF"/>
    <w:rsid w:val="00D92698"/>
    <w:rsid w:val="00D92AFF"/>
    <w:rsid w:val="00D9317F"/>
    <w:rsid w:val="00D95A9B"/>
    <w:rsid w:val="00DA657B"/>
    <w:rsid w:val="00DA7595"/>
    <w:rsid w:val="00DA7FF8"/>
    <w:rsid w:val="00DB0A68"/>
    <w:rsid w:val="00DB6FCA"/>
    <w:rsid w:val="00DB7A8E"/>
    <w:rsid w:val="00DC3AD2"/>
    <w:rsid w:val="00DC43A3"/>
    <w:rsid w:val="00DC46DE"/>
    <w:rsid w:val="00DC4859"/>
    <w:rsid w:val="00DC51D6"/>
    <w:rsid w:val="00DC60AB"/>
    <w:rsid w:val="00DD0B09"/>
    <w:rsid w:val="00DD1A3E"/>
    <w:rsid w:val="00DD1DB1"/>
    <w:rsid w:val="00DD2B8E"/>
    <w:rsid w:val="00DD435E"/>
    <w:rsid w:val="00DD48C5"/>
    <w:rsid w:val="00DD7C09"/>
    <w:rsid w:val="00DD7CEC"/>
    <w:rsid w:val="00DE5771"/>
    <w:rsid w:val="00DE5958"/>
    <w:rsid w:val="00DE6B14"/>
    <w:rsid w:val="00DE6D22"/>
    <w:rsid w:val="00DE798D"/>
    <w:rsid w:val="00DE7E97"/>
    <w:rsid w:val="00DF5CF9"/>
    <w:rsid w:val="00DF6A1A"/>
    <w:rsid w:val="00E0124F"/>
    <w:rsid w:val="00E03027"/>
    <w:rsid w:val="00E059A9"/>
    <w:rsid w:val="00E1264D"/>
    <w:rsid w:val="00E16EBA"/>
    <w:rsid w:val="00E2040D"/>
    <w:rsid w:val="00E22F01"/>
    <w:rsid w:val="00E231D6"/>
    <w:rsid w:val="00E2729B"/>
    <w:rsid w:val="00E277D4"/>
    <w:rsid w:val="00E312FE"/>
    <w:rsid w:val="00E31541"/>
    <w:rsid w:val="00E3603C"/>
    <w:rsid w:val="00E40928"/>
    <w:rsid w:val="00E41EE6"/>
    <w:rsid w:val="00E4255D"/>
    <w:rsid w:val="00E43F4A"/>
    <w:rsid w:val="00E51DF9"/>
    <w:rsid w:val="00E523DF"/>
    <w:rsid w:val="00E539A4"/>
    <w:rsid w:val="00E573D7"/>
    <w:rsid w:val="00E6028F"/>
    <w:rsid w:val="00E608E3"/>
    <w:rsid w:val="00E623FB"/>
    <w:rsid w:val="00E62FB2"/>
    <w:rsid w:val="00E674D3"/>
    <w:rsid w:val="00E70E20"/>
    <w:rsid w:val="00E70FD0"/>
    <w:rsid w:val="00E75B47"/>
    <w:rsid w:val="00E75F8B"/>
    <w:rsid w:val="00E825C4"/>
    <w:rsid w:val="00E86556"/>
    <w:rsid w:val="00E86BBF"/>
    <w:rsid w:val="00E96CA8"/>
    <w:rsid w:val="00EB2F8C"/>
    <w:rsid w:val="00EB70E5"/>
    <w:rsid w:val="00EC0B17"/>
    <w:rsid w:val="00EC2FC2"/>
    <w:rsid w:val="00EC54AC"/>
    <w:rsid w:val="00EC57EE"/>
    <w:rsid w:val="00EC6BC4"/>
    <w:rsid w:val="00ED0346"/>
    <w:rsid w:val="00ED1D86"/>
    <w:rsid w:val="00ED2A0E"/>
    <w:rsid w:val="00EE70A6"/>
    <w:rsid w:val="00EE7F97"/>
    <w:rsid w:val="00EF12F2"/>
    <w:rsid w:val="00EF1DA1"/>
    <w:rsid w:val="00EF6FD3"/>
    <w:rsid w:val="00F045A6"/>
    <w:rsid w:val="00F07AD5"/>
    <w:rsid w:val="00F10C33"/>
    <w:rsid w:val="00F120BE"/>
    <w:rsid w:val="00F12572"/>
    <w:rsid w:val="00F12D5A"/>
    <w:rsid w:val="00F12EF4"/>
    <w:rsid w:val="00F143D4"/>
    <w:rsid w:val="00F14D71"/>
    <w:rsid w:val="00F21BD0"/>
    <w:rsid w:val="00F26C43"/>
    <w:rsid w:val="00F324B0"/>
    <w:rsid w:val="00F40E55"/>
    <w:rsid w:val="00F426A3"/>
    <w:rsid w:val="00F453FB"/>
    <w:rsid w:val="00F61045"/>
    <w:rsid w:val="00F6280D"/>
    <w:rsid w:val="00F6749B"/>
    <w:rsid w:val="00F67B81"/>
    <w:rsid w:val="00F70531"/>
    <w:rsid w:val="00F73CF4"/>
    <w:rsid w:val="00F75BEE"/>
    <w:rsid w:val="00F822FB"/>
    <w:rsid w:val="00F84067"/>
    <w:rsid w:val="00F84148"/>
    <w:rsid w:val="00F94854"/>
    <w:rsid w:val="00F9507B"/>
    <w:rsid w:val="00F9586B"/>
    <w:rsid w:val="00F95D66"/>
    <w:rsid w:val="00FA0B62"/>
    <w:rsid w:val="00FA0D90"/>
    <w:rsid w:val="00FA3A05"/>
    <w:rsid w:val="00FA43FF"/>
    <w:rsid w:val="00FA5BB2"/>
    <w:rsid w:val="00FA69F6"/>
    <w:rsid w:val="00FB0C11"/>
    <w:rsid w:val="00FC562C"/>
    <w:rsid w:val="00FC6255"/>
    <w:rsid w:val="00FD1F2A"/>
    <w:rsid w:val="00FD4006"/>
    <w:rsid w:val="00FD740B"/>
    <w:rsid w:val="00FE10F0"/>
    <w:rsid w:val="00FE3DE5"/>
    <w:rsid w:val="00FE6F6C"/>
    <w:rsid w:val="00FF37E3"/>
    <w:rsid w:val="00FF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B2FBA1"/>
  <w15:docId w15:val="{E9F8591C-97C3-4C1E-BB75-9F3FD550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826B86"/>
    <w:pPr>
      <w:keepNext/>
      <w:outlineLvl w:val="1"/>
    </w:pPr>
    <w:rPr>
      <w:rFonts w:asciiTheme="majorHAnsi" w:eastAsiaTheme="majorEastAsia" w:hAnsiTheme="majorHAnsi" w:cstheme="majorBidi"/>
    </w:rPr>
  </w:style>
  <w:style w:type="paragraph" w:styleId="Heading3">
    <w:name w:val="heading 3"/>
    <w:basedOn w:val="Normal"/>
    <w:next w:val="Normal"/>
    <w:link w:val="Heading3Char"/>
    <w:semiHidden/>
    <w:unhideWhenUsed/>
    <w:qFormat/>
    <w:rsid w:val="00826B86"/>
    <w:pPr>
      <w:keepNext/>
      <w:ind w:leftChars="400" w:left="400"/>
      <w:outlineLvl w:val="2"/>
    </w:pPr>
    <w:rPr>
      <w:rFonts w:asciiTheme="majorHAnsi" w:eastAsiaTheme="majorEastAsia" w:hAnsiTheme="majorHAnsi" w:cstheme="majorBidi"/>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uiPriority w:val="99"/>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uiPriority w:val="99"/>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BalloonText">
    <w:name w:val="Balloon Text"/>
    <w:basedOn w:val="Normal"/>
    <w:link w:val="BalloonTextChar"/>
    <w:semiHidden/>
    <w:unhideWhenUsed/>
    <w:rsid w:val="0063022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63022A"/>
    <w:rPr>
      <w:rFonts w:asciiTheme="majorHAnsi" w:eastAsiaTheme="majorEastAsia" w:hAnsiTheme="majorHAnsi" w:cstheme="majorBidi"/>
      <w:sz w:val="18"/>
      <w:szCs w:val="18"/>
    </w:rPr>
  </w:style>
  <w:style w:type="paragraph" w:customStyle="1" w:styleId="paragraph">
    <w:name w:val="paragraph"/>
    <w:basedOn w:val="Normal"/>
    <w:rsid w:val="00A15238"/>
    <w:pPr>
      <w:spacing w:before="100" w:beforeAutospacing="1" w:after="100" w:afterAutospacing="1"/>
    </w:pPr>
    <w:rPr>
      <w:rFonts w:eastAsia="Times New Roman"/>
    </w:rPr>
  </w:style>
  <w:style w:type="character" w:customStyle="1" w:styleId="normaltextrun">
    <w:name w:val="normaltextrun"/>
    <w:basedOn w:val="DefaultParagraphFont"/>
    <w:rsid w:val="00A15238"/>
  </w:style>
  <w:style w:type="character" w:customStyle="1" w:styleId="scx246492957">
    <w:name w:val="scx246492957"/>
    <w:basedOn w:val="DefaultParagraphFont"/>
    <w:rsid w:val="00A15238"/>
  </w:style>
  <w:style w:type="paragraph" w:styleId="PlainText">
    <w:name w:val="Plain Text"/>
    <w:basedOn w:val="Normal"/>
    <w:link w:val="PlainTextChar"/>
    <w:uiPriority w:val="99"/>
    <w:semiHidden/>
    <w:unhideWhenUsed/>
    <w:rsid w:val="009F643B"/>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semiHidden/>
    <w:rsid w:val="009F643B"/>
    <w:rPr>
      <w:rFonts w:ascii="Calibri" w:eastAsiaTheme="minorEastAsia" w:hAnsi="Calibri" w:cstheme="minorBidi"/>
      <w:sz w:val="22"/>
      <w:szCs w:val="21"/>
    </w:rPr>
  </w:style>
  <w:style w:type="paragraph" w:styleId="NoSpacing">
    <w:name w:val="No Spacing"/>
    <w:basedOn w:val="Normal"/>
    <w:uiPriority w:val="1"/>
    <w:qFormat/>
    <w:rsid w:val="0000354C"/>
    <w:rPr>
      <w:rFonts w:eastAsiaTheme="minorEastAsia"/>
    </w:rPr>
  </w:style>
  <w:style w:type="paragraph" w:customStyle="1" w:styleId="enumlev1">
    <w:name w:val="enumlev1"/>
    <w:basedOn w:val="Normal"/>
    <w:link w:val="enumlev1Char"/>
    <w:qFormat/>
    <w:rsid w:val="004D1674"/>
    <w:pPr>
      <w:tabs>
        <w:tab w:val="left" w:pos="794"/>
        <w:tab w:val="left" w:pos="1191"/>
        <w:tab w:val="left" w:pos="1588"/>
        <w:tab w:val="left" w:pos="1985"/>
      </w:tabs>
      <w:overflowPunct w:val="0"/>
      <w:autoSpaceDE w:val="0"/>
      <w:autoSpaceDN w:val="0"/>
      <w:adjustRightInd w:val="0"/>
      <w:spacing w:before="80" w:line="280" w:lineRule="exact"/>
      <w:ind w:left="794" w:hanging="794"/>
      <w:jc w:val="both"/>
      <w:textAlignment w:val="baseline"/>
    </w:pPr>
    <w:rPr>
      <w:rFonts w:ascii="Calibri" w:eastAsia="MS Mincho" w:hAnsi="Calibri" w:cs="Calibri"/>
      <w:szCs w:val="22"/>
    </w:rPr>
  </w:style>
  <w:style w:type="character" w:customStyle="1" w:styleId="enumlev1Char">
    <w:name w:val="enumlev1 Char"/>
    <w:basedOn w:val="DefaultParagraphFont"/>
    <w:link w:val="enumlev1"/>
    <w:qFormat/>
    <w:rsid w:val="004D1674"/>
    <w:rPr>
      <w:rFonts w:ascii="Calibri" w:eastAsia="MS Mincho" w:hAnsi="Calibri" w:cs="Calibri"/>
      <w:sz w:val="24"/>
      <w:szCs w:val="22"/>
    </w:rPr>
  </w:style>
  <w:style w:type="paragraph" w:customStyle="1" w:styleId="Tabletext">
    <w:name w:val="Table_text"/>
    <w:basedOn w:val="Normal"/>
    <w:rsid w:val="008D3FF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MS Mincho"/>
      <w:sz w:val="20"/>
      <w:szCs w:val="20"/>
      <w:lang w:val="en-GB"/>
    </w:rPr>
  </w:style>
  <w:style w:type="character" w:styleId="Hyperlink">
    <w:name w:val="Hyperlink"/>
    <w:basedOn w:val="DefaultParagraphFont"/>
    <w:uiPriority w:val="99"/>
    <w:unhideWhenUsed/>
    <w:rsid w:val="007342EE"/>
    <w:rPr>
      <w:color w:val="0000FF" w:themeColor="hyperlink"/>
      <w:u w:val="single"/>
    </w:rPr>
  </w:style>
  <w:style w:type="character" w:styleId="CommentReference">
    <w:name w:val="annotation reference"/>
    <w:basedOn w:val="DefaultParagraphFont"/>
    <w:semiHidden/>
    <w:unhideWhenUsed/>
    <w:rsid w:val="00AA579B"/>
    <w:rPr>
      <w:sz w:val="16"/>
      <w:szCs w:val="16"/>
    </w:rPr>
  </w:style>
  <w:style w:type="paragraph" w:styleId="CommentText">
    <w:name w:val="annotation text"/>
    <w:basedOn w:val="Normal"/>
    <w:link w:val="CommentTextChar"/>
    <w:semiHidden/>
    <w:unhideWhenUsed/>
    <w:rsid w:val="00AA579B"/>
    <w:rPr>
      <w:sz w:val="20"/>
      <w:szCs w:val="20"/>
    </w:rPr>
  </w:style>
  <w:style w:type="character" w:customStyle="1" w:styleId="CommentTextChar">
    <w:name w:val="Comment Text Char"/>
    <w:basedOn w:val="DefaultParagraphFont"/>
    <w:link w:val="CommentText"/>
    <w:semiHidden/>
    <w:rsid w:val="00AA579B"/>
    <w:rPr>
      <w:rFonts w:eastAsia="BatangChe"/>
    </w:rPr>
  </w:style>
  <w:style w:type="paragraph" w:styleId="CommentSubject">
    <w:name w:val="annotation subject"/>
    <w:basedOn w:val="CommentText"/>
    <w:next w:val="CommentText"/>
    <w:link w:val="CommentSubjectChar"/>
    <w:semiHidden/>
    <w:unhideWhenUsed/>
    <w:rsid w:val="00AA579B"/>
    <w:rPr>
      <w:b/>
      <w:bCs/>
    </w:rPr>
  </w:style>
  <w:style w:type="character" w:customStyle="1" w:styleId="CommentSubjectChar">
    <w:name w:val="Comment Subject Char"/>
    <w:basedOn w:val="CommentTextChar"/>
    <w:link w:val="CommentSubject"/>
    <w:semiHidden/>
    <w:rsid w:val="00AA579B"/>
    <w:rPr>
      <w:rFonts w:eastAsia="BatangChe"/>
      <w:b/>
      <w:bCs/>
    </w:rPr>
  </w:style>
  <w:style w:type="paragraph" w:styleId="Revision">
    <w:name w:val="Revision"/>
    <w:hidden/>
    <w:uiPriority w:val="99"/>
    <w:semiHidden/>
    <w:rsid w:val="00AA579B"/>
    <w:rPr>
      <w:rFonts w:eastAsia="BatangChe"/>
      <w:sz w:val="24"/>
      <w:szCs w:val="24"/>
    </w:rPr>
  </w:style>
  <w:style w:type="paragraph" w:styleId="ListParagraph">
    <w:name w:val="List Paragraph"/>
    <w:basedOn w:val="Normal"/>
    <w:uiPriority w:val="34"/>
    <w:qFormat/>
    <w:rsid w:val="00492AC8"/>
    <w:pPr>
      <w:ind w:leftChars="400" w:left="840"/>
    </w:pPr>
  </w:style>
  <w:style w:type="character" w:styleId="FollowedHyperlink">
    <w:name w:val="FollowedHyperlink"/>
    <w:basedOn w:val="DefaultParagraphFont"/>
    <w:semiHidden/>
    <w:unhideWhenUsed/>
    <w:rsid w:val="0027238A"/>
    <w:rPr>
      <w:color w:val="800080" w:themeColor="followedHyperlink"/>
      <w:u w:val="single"/>
    </w:rPr>
  </w:style>
  <w:style w:type="character" w:customStyle="1" w:styleId="Heading2Char">
    <w:name w:val="Heading 2 Char"/>
    <w:basedOn w:val="DefaultParagraphFont"/>
    <w:link w:val="Heading2"/>
    <w:semiHidden/>
    <w:rsid w:val="00826B86"/>
    <w:rPr>
      <w:rFonts w:asciiTheme="majorHAnsi" w:eastAsiaTheme="majorEastAsia" w:hAnsiTheme="majorHAnsi" w:cstheme="majorBidi"/>
      <w:sz w:val="24"/>
      <w:szCs w:val="24"/>
    </w:rPr>
  </w:style>
  <w:style w:type="character" w:customStyle="1" w:styleId="Heading3Char">
    <w:name w:val="Heading 3 Char"/>
    <w:basedOn w:val="DefaultParagraphFont"/>
    <w:link w:val="Heading3"/>
    <w:semiHidden/>
    <w:rsid w:val="00826B86"/>
    <w:rPr>
      <w:rFonts w:asciiTheme="majorHAnsi" w:eastAsiaTheme="majorEastAsia" w:hAnsiTheme="majorHAnsi" w:cstheme="majorBidi"/>
      <w:sz w:val="24"/>
      <w:szCs w:val="24"/>
    </w:rPr>
  </w:style>
  <w:style w:type="paragraph" w:styleId="FootnoteText">
    <w:name w:val="footnote text"/>
    <w:basedOn w:val="Normal"/>
    <w:link w:val="FootnoteTextChar"/>
    <w:semiHidden/>
    <w:unhideWhenUsed/>
    <w:rsid w:val="00330272"/>
    <w:rPr>
      <w:sz w:val="20"/>
      <w:szCs w:val="20"/>
    </w:rPr>
  </w:style>
  <w:style w:type="character" w:customStyle="1" w:styleId="FootnoteTextChar">
    <w:name w:val="Footnote Text Char"/>
    <w:basedOn w:val="DefaultParagraphFont"/>
    <w:link w:val="FootnoteText"/>
    <w:semiHidden/>
    <w:rsid w:val="00330272"/>
    <w:rPr>
      <w:rFonts w:eastAsia="BatangChe"/>
    </w:rPr>
  </w:style>
  <w:style w:type="character" w:styleId="FootnoteReference">
    <w:name w:val="footnote reference"/>
    <w:basedOn w:val="DefaultParagraphFont"/>
    <w:semiHidden/>
    <w:unhideWhenUsed/>
    <w:rsid w:val="00330272"/>
    <w:rPr>
      <w:vertAlign w:val="superscript"/>
    </w:rPr>
  </w:style>
  <w:style w:type="character" w:customStyle="1" w:styleId="1">
    <w:name w:val="未解決のメンション1"/>
    <w:basedOn w:val="DefaultParagraphFont"/>
    <w:uiPriority w:val="99"/>
    <w:semiHidden/>
    <w:unhideWhenUsed/>
    <w:rsid w:val="00143F62"/>
    <w:rPr>
      <w:color w:val="605E5C"/>
      <w:shd w:val="clear" w:color="auto" w:fill="E1DFDD"/>
    </w:rPr>
  </w:style>
  <w:style w:type="paragraph" w:styleId="NormalWeb">
    <w:name w:val="Normal (Web)"/>
    <w:basedOn w:val="Normal"/>
    <w:uiPriority w:val="99"/>
    <w:semiHidden/>
    <w:unhideWhenUsed/>
    <w:rsid w:val="00A64424"/>
    <w:pPr>
      <w:spacing w:before="100" w:beforeAutospacing="1" w:after="100" w:afterAutospacing="1"/>
    </w:pPr>
    <w:rPr>
      <w:rFonts w:eastAsiaTheme="minorHAnsi"/>
    </w:rPr>
  </w:style>
  <w:style w:type="character" w:customStyle="1" w:styleId="2">
    <w:name w:val="未解決のメンション2"/>
    <w:basedOn w:val="DefaultParagraphFont"/>
    <w:uiPriority w:val="99"/>
    <w:semiHidden/>
    <w:unhideWhenUsed/>
    <w:rsid w:val="00390BF4"/>
    <w:rPr>
      <w:color w:val="605E5C"/>
      <w:shd w:val="clear" w:color="auto" w:fill="E1DFDD"/>
    </w:rPr>
  </w:style>
  <w:style w:type="character" w:customStyle="1" w:styleId="Heading8Char">
    <w:name w:val="Heading 8 Char"/>
    <w:basedOn w:val="DefaultParagraphFont"/>
    <w:link w:val="Heading8"/>
    <w:rsid w:val="00604817"/>
    <w:rPr>
      <w:rFonts w:eastAsia="BatangChe"/>
      <w:b/>
      <w:bCs/>
      <w:kern w:val="2"/>
      <w:lang w:eastAsia="ko-KR"/>
    </w:rPr>
  </w:style>
  <w:style w:type="character" w:styleId="UnresolvedMention">
    <w:name w:val="Unresolved Mention"/>
    <w:basedOn w:val="DefaultParagraphFont"/>
    <w:uiPriority w:val="99"/>
    <w:semiHidden/>
    <w:unhideWhenUsed/>
    <w:rsid w:val="0084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9365">
      <w:bodyDiv w:val="1"/>
      <w:marLeft w:val="0"/>
      <w:marRight w:val="0"/>
      <w:marTop w:val="0"/>
      <w:marBottom w:val="0"/>
      <w:divBdr>
        <w:top w:val="none" w:sz="0" w:space="0" w:color="auto"/>
        <w:left w:val="none" w:sz="0" w:space="0" w:color="auto"/>
        <w:bottom w:val="none" w:sz="0" w:space="0" w:color="auto"/>
        <w:right w:val="none" w:sz="0" w:space="0" w:color="auto"/>
      </w:divBdr>
    </w:div>
    <w:div w:id="86926972">
      <w:bodyDiv w:val="1"/>
      <w:marLeft w:val="0"/>
      <w:marRight w:val="0"/>
      <w:marTop w:val="0"/>
      <w:marBottom w:val="0"/>
      <w:divBdr>
        <w:top w:val="none" w:sz="0" w:space="0" w:color="auto"/>
        <w:left w:val="none" w:sz="0" w:space="0" w:color="auto"/>
        <w:bottom w:val="none" w:sz="0" w:space="0" w:color="auto"/>
        <w:right w:val="none" w:sz="0" w:space="0" w:color="auto"/>
      </w:divBdr>
    </w:div>
    <w:div w:id="166599852">
      <w:bodyDiv w:val="1"/>
      <w:marLeft w:val="0"/>
      <w:marRight w:val="0"/>
      <w:marTop w:val="0"/>
      <w:marBottom w:val="0"/>
      <w:divBdr>
        <w:top w:val="none" w:sz="0" w:space="0" w:color="auto"/>
        <w:left w:val="none" w:sz="0" w:space="0" w:color="auto"/>
        <w:bottom w:val="none" w:sz="0" w:space="0" w:color="auto"/>
        <w:right w:val="none" w:sz="0" w:space="0" w:color="auto"/>
      </w:divBdr>
    </w:div>
    <w:div w:id="192498763">
      <w:bodyDiv w:val="1"/>
      <w:marLeft w:val="0"/>
      <w:marRight w:val="0"/>
      <w:marTop w:val="0"/>
      <w:marBottom w:val="0"/>
      <w:divBdr>
        <w:top w:val="none" w:sz="0" w:space="0" w:color="auto"/>
        <w:left w:val="none" w:sz="0" w:space="0" w:color="auto"/>
        <w:bottom w:val="none" w:sz="0" w:space="0" w:color="auto"/>
        <w:right w:val="none" w:sz="0" w:space="0" w:color="auto"/>
      </w:divBdr>
    </w:div>
    <w:div w:id="377047304">
      <w:bodyDiv w:val="1"/>
      <w:marLeft w:val="0"/>
      <w:marRight w:val="0"/>
      <w:marTop w:val="0"/>
      <w:marBottom w:val="0"/>
      <w:divBdr>
        <w:top w:val="none" w:sz="0" w:space="0" w:color="auto"/>
        <w:left w:val="none" w:sz="0" w:space="0" w:color="auto"/>
        <w:bottom w:val="none" w:sz="0" w:space="0" w:color="auto"/>
        <w:right w:val="none" w:sz="0" w:space="0" w:color="auto"/>
      </w:divBdr>
    </w:div>
    <w:div w:id="533230926">
      <w:bodyDiv w:val="1"/>
      <w:marLeft w:val="0"/>
      <w:marRight w:val="0"/>
      <w:marTop w:val="0"/>
      <w:marBottom w:val="0"/>
      <w:divBdr>
        <w:top w:val="none" w:sz="0" w:space="0" w:color="auto"/>
        <w:left w:val="none" w:sz="0" w:space="0" w:color="auto"/>
        <w:bottom w:val="none" w:sz="0" w:space="0" w:color="auto"/>
        <w:right w:val="none" w:sz="0" w:space="0" w:color="auto"/>
      </w:divBdr>
    </w:div>
    <w:div w:id="591351677">
      <w:bodyDiv w:val="1"/>
      <w:marLeft w:val="0"/>
      <w:marRight w:val="0"/>
      <w:marTop w:val="0"/>
      <w:marBottom w:val="0"/>
      <w:divBdr>
        <w:top w:val="none" w:sz="0" w:space="0" w:color="auto"/>
        <w:left w:val="none" w:sz="0" w:space="0" w:color="auto"/>
        <w:bottom w:val="none" w:sz="0" w:space="0" w:color="auto"/>
        <w:right w:val="none" w:sz="0" w:space="0" w:color="auto"/>
      </w:divBdr>
    </w:div>
    <w:div w:id="671418675">
      <w:bodyDiv w:val="1"/>
      <w:marLeft w:val="0"/>
      <w:marRight w:val="0"/>
      <w:marTop w:val="0"/>
      <w:marBottom w:val="0"/>
      <w:divBdr>
        <w:top w:val="none" w:sz="0" w:space="0" w:color="auto"/>
        <w:left w:val="none" w:sz="0" w:space="0" w:color="auto"/>
        <w:bottom w:val="none" w:sz="0" w:space="0" w:color="auto"/>
        <w:right w:val="none" w:sz="0" w:space="0" w:color="auto"/>
      </w:divBdr>
    </w:div>
    <w:div w:id="793405403">
      <w:bodyDiv w:val="1"/>
      <w:marLeft w:val="0"/>
      <w:marRight w:val="0"/>
      <w:marTop w:val="0"/>
      <w:marBottom w:val="0"/>
      <w:divBdr>
        <w:top w:val="none" w:sz="0" w:space="0" w:color="auto"/>
        <w:left w:val="none" w:sz="0" w:space="0" w:color="auto"/>
        <w:bottom w:val="none" w:sz="0" w:space="0" w:color="auto"/>
        <w:right w:val="none" w:sz="0" w:space="0" w:color="auto"/>
      </w:divBdr>
    </w:div>
    <w:div w:id="1056591630">
      <w:bodyDiv w:val="1"/>
      <w:marLeft w:val="0"/>
      <w:marRight w:val="0"/>
      <w:marTop w:val="0"/>
      <w:marBottom w:val="0"/>
      <w:divBdr>
        <w:top w:val="none" w:sz="0" w:space="0" w:color="auto"/>
        <w:left w:val="none" w:sz="0" w:space="0" w:color="auto"/>
        <w:bottom w:val="none" w:sz="0" w:space="0" w:color="auto"/>
        <w:right w:val="none" w:sz="0" w:space="0" w:color="auto"/>
      </w:divBdr>
    </w:div>
    <w:div w:id="1068571231">
      <w:bodyDiv w:val="1"/>
      <w:marLeft w:val="0"/>
      <w:marRight w:val="0"/>
      <w:marTop w:val="0"/>
      <w:marBottom w:val="0"/>
      <w:divBdr>
        <w:top w:val="none" w:sz="0" w:space="0" w:color="auto"/>
        <w:left w:val="none" w:sz="0" w:space="0" w:color="auto"/>
        <w:bottom w:val="none" w:sz="0" w:space="0" w:color="auto"/>
        <w:right w:val="none" w:sz="0" w:space="0" w:color="auto"/>
      </w:divBdr>
    </w:div>
    <w:div w:id="1212497526">
      <w:bodyDiv w:val="1"/>
      <w:marLeft w:val="0"/>
      <w:marRight w:val="0"/>
      <w:marTop w:val="0"/>
      <w:marBottom w:val="0"/>
      <w:divBdr>
        <w:top w:val="none" w:sz="0" w:space="0" w:color="auto"/>
        <w:left w:val="none" w:sz="0" w:space="0" w:color="auto"/>
        <w:bottom w:val="none" w:sz="0" w:space="0" w:color="auto"/>
        <w:right w:val="none" w:sz="0" w:space="0" w:color="auto"/>
      </w:divBdr>
    </w:div>
    <w:div w:id="1224147140">
      <w:bodyDiv w:val="1"/>
      <w:marLeft w:val="0"/>
      <w:marRight w:val="0"/>
      <w:marTop w:val="0"/>
      <w:marBottom w:val="0"/>
      <w:divBdr>
        <w:top w:val="none" w:sz="0" w:space="0" w:color="auto"/>
        <w:left w:val="none" w:sz="0" w:space="0" w:color="auto"/>
        <w:bottom w:val="none" w:sz="0" w:space="0" w:color="auto"/>
        <w:right w:val="none" w:sz="0" w:space="0" w:color="auto"/>
      </w:divBdr>
    </w:div>
    <w:div w:id="1234969628">
      <w:bodyDiv w:val="1"/>
      <w:marLeft w:val="0"/>
      <w:marRight w:val="0"/>
      <w:marTop w:val="0"/>
      <w:marBottom w:val="0"/>
      <w:divBdr>
        <w:top w:val="none" w:sz="0" w:space="0" w:color="auto"/>
        <w:left w:val="none" w:sz="0" w:space="0" w:color="auto"/>
        <w:bottom w:val="none" w:sz="0" w:space="0" w:color="auto"/>
        <w:right w:val="none" w:sz="0" w:space="0" w:color="auto"/>
      </w:divBdr>
    </w:div>
    <w:div w:id="1368405227">
      <w:bodyDiv w:val="1"/>
      <w:marLeft w:val="0"/>
      <w:marRight w:val="0"/>
      <w:marTop w:val="0"/>
      <w:marBottom w:val="0"/>
      <w:divBdr>
        <w:top w:val="none" w:sz="0" w:space="0" w:color="auto"/>
        <w:left w:val="none" w:sz="0" w:space="0" w:color="auto"/>
        <w:bottom w:val="none" w:sz="0" w:space="0" w:color="auto"/>
        <w:right w:val="none" w:sz="0" w:space="0" w:color="auto"/>
      </w:divBdr>
    </w:div>
    <w:div w:id="1819951496">
      <w:bodyDiv w:val="1"/>
      <w:marLeft w:val="0"/>
      <w:marRight w:val="0"/>
      <w:marTop w:val="0"/>
      <w:marBottom w:val="0"/>
      <w:divBdr>
        <w:top w:val="none" w:sz="0" w:space="0" w:color="auto"/>
        <w:left w:val="none" w:sz="0" w:space="0" w:color="auto"/>
        <w:bottom w:val="none" w:sz="0" w:space="0" w:color="auto"/>
        <w:right w:val="none" w:sz="0" w:space="0" w:color="auto"/>
      </w:divBdr>
    </w:div>
    <w:div w:id="1884562059">
      <w:bodyDiv w:val="1"/>
      <w:marLeft w:val="0"/>
      <w:marRight w:val="0"/>
      <w:marTop w:val="0"/>
      <w:marBottom w:val="0"/>
      <w:divBdr>
        <w:top w:val="none" w:sz="0" w:space="0" w:color="auto"/>
        <w:left w:val="none" w:sz="0" w:space="0" w:color="auto"/>
        <w:bottom w:val="none" w:sz="0" w:space="0" w:color="auto"/>
        <w:right w:val="none" w:sz="0" w:space="0" w:color="auto"/>
      </w:divBdr>
    </w:div>
    <w:div w:id="1912037486">
      <w:bodyDiv w:val="1"/>
      <w:marLeft w:val="0"/>
      <w:marRight w:val="0"/>
      <w:marTop w:val="0"/>
      <w:marBottom w:val="0"/>
      <w:divBdr>
        <w:top w:val="none" w:sz="0" w:space="0" w:color="auto"/>
        <w:left w:val="none" w:sz="0" w:space="0" w:color="auto"/>
        <w:bottom w:val="none" w:sz="0" w:space="0" w:color="auto"/>
        <w:right w:val="none" w:sz="0" w:space="0" w:color="auto"/>
      </w:divBdr>
    </w:div>
    <w:div w:id="2072458961">
      <w:bodyDiv w:val="1"/>
      <w:marLeft w:val="0"/>
      <w:marRight w:val="0"/>
      <w:marTop w:val="0"/>
      <w:marBottom w:val="0"/>
      <w:divBdr>
        <w:top w:val="none" w:sz="0" w:space="0" w:color="auto"/>
        <w:left w:val="none" w:sz="0" w:space="0" w:color="auto"/>
        <w:bottom w:val="none" w:sz="0" w:space="0" w:color="auto"/>
        <w:right w:val="none" w:sz="0" w:space="0" w:color="auto"/>
      </w:divBdr>
    </w:div>
    <w:div w:id="2083524176">
      <w:bodyDiv w:val="1"/>
      <w:marLeft w:val="0"/>
      <w:marRight w:val="0"/>
      <w:marTop w:val="0"/>
      <w:marBottom w:val="0"/>
      <w:divBdr>
        <w:top w:val="none" w:sz="0" w:space="0" w:color="auto"/>
        <w:left w:val="none" w:sz="0" w:space="0" w:color="auto"/>
        <w:bottom w:val="none" w:sz="0" w:space="0" w:color="auto"/>
        <w:right w:val="none" w:sz="0" w:space="0" w:color="auto"/>
      </w:divBdr>
    </w:div>
    <w:div w:id="21244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9-WP5A-C-0221/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int/2021-APG23-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t.int/aptapg" TargetMode="External"/><Relationship Id="rId4" Type="http://schemas.openxmlformats.org/officeDocument/2006/relationships/settings" Target="settings.xml"/><Relationship Id="rId9" Type="http://schemas.openxmlformats.org/officeDocument/2006/relationships/hyperlink" Target="https://www.apt.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BC64E-7006-478D-AE46-6AAC51BB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10798</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APT</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2</cp:revision>
  <cp:lastPrinted>2004-07-28T02:14:00Z</cp:lastPrinted>
  <dcterms:created xsi:type="dcterms:W3CDTF">2021-03-30T07:18:00Z</dcterms:created>
  <dcterms:modified xsi:type="dcterms:W3CDTF">2021-03-30T07:18:00Z</dcterms:modified>
</cp:coreProperties>
</file>