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9" w:type="dxa"/>
        <w:tblBorders>
          <w:bottom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399"/>
        <w:gridCol w:w="6080"/>
        <w:gridCol w:w="2220"/>
      </w:tblGrid>
      <w:tr w:rsidR="0034071B" w:rsidRPr="00891D0B" w:rsidTr="0034071B">
        <w:trPr>
          <w:cantSplit/>
        </w:trPr>
        <w:tc>
          <w:tcPr>
            <w:tcW w:w="1399" w:type="dxa"/>
            <w:vMerge w:val="restart"/>
          </w:tcPr>
          <w:p w:rsidR="0034071B" w:rsidRPr="00891D0B" w:rsidRDefault="007C12CE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 w:bidi="th-TH"/>
              </w:rPr>
              <w:drawing>
                <wp:inline distT="0" distB="0" distL="0" distR="0">
                  <wp:extent cx="762000" cy="714375"/>
                  <wp:effectExtent l="0" t="0" r="0" b="9525"/>
                  <wp:docPr id="1" name="Picture 1" descr="APT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T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0" w:type="dxa"/>
            <w:gridSpan w:val="2"/>
          </w:tcPr>
          <w:p w:rsidR="0034071B" w:rsidRPr="0034071B" w:rsidRDefault="0034071B" w:rsidP="0045458F">
            <w:pPr>
              <w:pStyle w:val="Heading8"/>
              <w:rPr>
                <w:b w:val="0"/>
                <w:bCs w:val="0"/>
                <w:sz w:val="24"/>
                <w:szCs w:val="24"/>
              </w:rPr>
            </w:pPr>
            <w:r w:rsidRPr="0034071B">
              <w:rPr>
                <w:b w:val="0"/>
                <w:bCs w:val="0"/>
                <w:sz w:val="22"/>
                <w:szCs w:val="22"/>
              </w:rPr>
              <w:t>ASIA-PACIFIC TELECOMMUNITY</w:t>
            </w:r>
          </w:p>
        </w:tc>
      </w:tr>
      <w:tr w:rsidR="00DA7595" w:rsidRPr="00891D0B" w:rsidTr="0034071B">
        <w:trPr>
          <w:cantSplit/>
        </w:trPr>
        <w:tc>
          <w:tcPr>
            <w:tcW w:w="1399" w:type="dxa"/>
            <w:vMerge/>
          </w:tcPr>
          <w:p w:rsidR="00DA7595" w:rsidRPr="00891D0B" w:rsidRDefault="00DA7595" w:rsidP="0045458F"/>
        </w:tc>
        <w:tc>
          <w:tcPr>
            <w:tcW w:w="6080" w:type="dxa"/>
          </w:tcPr>
          <w:p w:rsidR="00DA7595" w:rsidRPr="00891D0B" w:rsidRDefault="00D93F67" w:rsidP="00666152">
            <w:pPr>
              <w:spacing w:line="0" w:lineRule="atLeast"/>
            </w:pPr>
            <w:r>
              <w:rPr>
                <w:b/>
              </w:rPr>
              <w:t xml:space="preserve">The </w:t>
            </w:r>
            <w:r w:rsidR="00E658FA">
              <w:rPr>
                <w:b/>
              </w:rPr>
              <w:t xml:space="preserve">Meeting of the SATRC Working Group on </w:t>
            </w:r>
            <w:r w:rsidR="00666152">
              <w:rPr>
                <w:b/>
              </w:rPr>
              <w:t>Policy, Regulation and Services</w:t>
            </w:r>
          </w:p>
        </w:tc>
        <w:tc>
          <w:tcPr>
            <w:tcW w:w="2220" w:type="dxa"/>
          </w:tcPr>
          <w:p w:rsidR="00DA7595" w:rsidRPr="004D7A60" w:rsidRDefault="00DA7595" w:rsidP="0045458F">
            <w:pPr>
              <w:rPr>
                <w:b/>
                <w:bCs/>
              </w:rPr>
            </w:pPr>
          </w:p>
        </w:tc>
      </w:tr>
      <w:tr w:rsidR="0034071B" w:rsidRPr="00891D0B" w:rsidTr="0034071B">
        <w:trPr>
          <w:cantSplit/>
          <w:trHeight w:val="219"/>
        </w:trPr>
        <w:tc>
          <w:tcPr>
            <w:tcW w:w="1399" w:type="dxa"/>
            <w:vMerge/>
          </w:tcPr>
          <w:p w:rsidR="0034071B" w:rsidRPr="00891D0B" w:rsidRDefault="0034071B" w:rsidP="0045458F"/>
        </w:tc>
        <w:tc>
          <w:tcPr>
            <w:tcW w:w="6080" w:type="dxa"/>
          </w:tcPr>
          <w:p w:rsidR="0034071B" w:rsidRPr="00891D0B" w:rsidRDefault="008E786A" w:rsidP="008E786A">
            <w:r>
              <w:t>18</w:t>
            </w:r>
            <w:r w:rsidR="00136330">
              <w:t xml:space="preserve"> – </w:t>
            </w:r>
            <w:r>
              <w:t>19</w:t>
            </w:r>
            <w:r w:rsidR="0034071B">
              <w:t xml:space="preserve"> </w:t>
            </w:r>
            <w:r>
              <w:t>April 2017</w:t>
            </w:r>
            <w:r w:rsidR="0034071B" w:rsidRPr="00891D0B">
              <w:t xml:space="preserve">, </w:t>
            </w:r>
            <w:r>
              <w:t>Dhaka</w:t>
            </w:r>
            <w:r w:rsidR="0034071B">
              <w:t xml:space="preserve">, </w:t>
            </w:r>
            <w:r>
              <w:t>Bangladesh</w:t>
            </w:r>
          </w:p>
        </w:tc>
        <w:tc>
          <w:tcPr>
            <w:tcW w:w="2220" w:type="dxa"/>
          </w:tcPr>
          <w:p w:rsidR="0034071B" w:rsidRPr="00D86151" w:rsidRDefault="0034071B" w:rsidP="00360BBE">
            <w:pPr>
              <w:pStyle w:val="Heading1"/>
              <w:jc w:val="left"/>
            </w:pPr>
          </w:p>
        </w:tc>
      </w:tr>
    </w:tbl>
    <w:p w:rsidR="00DA7595" w:rsidRDefault="00DA7595" w:rsidP="00DA7595">
      <w:pPr>
        <w:rPr>
          <w:lang w:eastAsia="ko-KR"/>
        </w:rPr>
      </w:pPr>
    </w:p>
    <w:p w:rsidR="00DA7595" w:rsidRDefault="00DA7595" w:rsidP="00DA7595">
      <w:pPr>
        <w:jc w:val="center"/>
        <w:rPr>
          <w:b/>
          <w:sz w:val="28"/>
          <w:szCs w:val="28"/>
          <w:lang w:eastAsia="ko-KR"/>
        </w:rPr>
      </w:pPr>
    </w:p>
    <w:p w:rsidR="00C357AD" w:rsidRPr="00607E2B" w:rsidRDefault="00E620DA" w:rsidP="0063062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provisinal </w:t>
      </w:r>
      <w:r w:rsidR="008E0D78">
        <w:rPr>
          <w:b/>
          <w:bCs/>
          <w:caps/>
          <w:sz w:val="28"/>
          <w:szCs w:val="28"/>
        </w:rPr>
        <w:t xml:space="preserve">Agenda </w:t>
      </w:r>
    </w:p>
    <w:p w:rsidR="00DB0A68" w:rsidRDefault="00DB0A68" w:rsidP="00C357AD">
      <w:pPr>
        <w:jc w:val="center"/>
      </w:pPr>
    </w:p>
    <w:p w:rsidR="00C357AD" w:rsidRPr="008E0D78" w:rsidRDefault="00C357AD" w:rsidP="00C357AD">
      <w:pPr>
        <w:jc w:val="center"/>
        <w:rPr>
          <w:b/>
        </w:rPr>
      </w:pPr>
    </w:p>
    <w:p w:rsidR="00C357AD" w:rsidRPr="008E0D78" w:rsidRDefault="00C357AD" w:rsidP="00C357AD">
      <w:pPr>
        <w:jc w:val="both"/>
        <w:rPr>
          <w:b/>
        </w:rPr>
      </w:pPr>
    </w:p>
    <w:p w:rsidR="00C357AD" w:rsidRDefault="00E620DA" w:rsidP="00E620DA">
      <w:pPr>
        <w:numPr>
          <w:ilvl w:val="0"/>
          <w:numId w:val="10"/>
        </w:numPr>
        <w:jc w:val="both"/>
      </w:pPr>
      <w:r>
        <w:t>Opening</w:t>
      </w:r>
    </w:p>
    <w:p w:rsidR="00E620DA" w:rsidRDefault="00E620DA" w:rsidP="00E620DA">
      <w:pPr>
        <w:ind w:left="720"/>
        <w:jc w:val="both"/>
      </w:pPr>
    </w:p>
    <w:p w:rsidR="00E620DA" w:rsidRDefault="00E620DA" w:rsidP="00E620DA">
      <w:pPr>
        <w:numPr>
          <w:ilvl w:val="0"/>
          <w:numId w:val="10"/>
        </w:numPr>
        <w:jc w:val="both"/>
      </w:pPr>
      <w:r>
        <w:t xml:space="preserve">Approval of agenda </w:t>
      </w:r>
    </w:p>
    <w:p w:rsidR="00E620DA" w:rsidRDefault="00E620DA" w:rsidP="00E620DA">
      <w:pPr>
        <w:pStyle w:val="ListParagraph"/>
      </w:pPr>
    </w:p>
    <w:p w:rsidR="00E620DA" w:rsidRDefault="00136330" w:rsidP="00E620DA">
      <w:pPr>
        <w:numPr>
          <w:ilvl w:val="0"/>
          <w:numId w:val="10"/>
        </w:numPr>
        <w:jc w:val="both"/>
      </w:pPr>
      <w:r>
        <w:t>Review of outc</w:t>
      </w:r>
      <w:r w:rsidR="00961C8A">
        <w:t xml:space="preserve">omes of the </w:t>
      </w:r>
      <w:r w:rsidR="008E786A">
        <w:t xml:space="preserve">17th </w:t>
      </w:r>
      <w:r>
        <w:t>SATRC Meeting</w:t>
      </w:r>
    </w:p>
    <w:p w:rsidR="00136330" w:rsidRDefault="00136330" w:rsidP="00136330">
      <w:pPr>
        <w:pStyle w:val="ListParagraph"/>
      </w:pPr>
    </w:p>
    <w:p w:rsidR="00136330" w:rsidRDefault="00136330" w:rsidP="00136330">
      <w:pPr>
        <w:numPr>
          <w:ilvl w:val="0"/>
          <w:numId w:val="10"/>
        </w:numPr>
        <w:jc w:val="both"/>
      </w:pPr>
      <w:r>
        <w:t>Review the previous activiti</w:t>
      </w:r>
      <w:r w:rsidR="00643643">
        <w:t>es of Working Group on Policy, Regulation and S</w:t>
      </w:r>
      <w:r w:rsidR="00666152">
        <w:t>ervices</w:t>
      </w:r>
    </w:p>
    <w:p w:rsidR="00136330" w:rsidRDefault="00136330" w:rsidP="00136330">
      <w:pPr>
        <w:pStyle w:val="ListParagraph"/>
      </w:pPr>
    </w:p>
    <w:p w:rsidR="008E786A" w:rsidRDefault="008E786A" w:rsidP="008E786A">
      <w:pPr>
        <w:numPr>
          <w:ilvl w:val="0"/>
          <w:numId w:val="10"/>
        </w:numPr>
        <w:jc w:val="both"/>
      </w:pPr>
      <w:r>
        <w:t>Discussion and adoption of the terms of reference for each Work Items and detail work plan:</w:t>
      </w:r>
    </w:p>
    <w:p w:rsidR="008E786A" w:rsidRDefault="008E786A" w:rsidP="008E786A">
      <w:pPr>
        <w:ind w:left="720"/>
        <w:jc w:val="both"/>
      </w:pPr>
    </w:p>
    <w:p w:rsidR="008E786A" w:rsidRDefault="008E786A" w:rsidP="008E786A">
      <w:pPr>
        <w:pStyle w:val="ListParagraph"/>
        <w:numPr>
          <w:ilvl w:val="1"/>
          <w:numId w:val="10"/>
        </w:numPr>
        <w:rPr>
          <w:rFonts w:eastAsiaTheme="minorHAnsi"/>
          <w:sz w:val="22"/>
          <w:szCs w:val="22"/>
        </w:rPr>
      </w:pPr>
      <w:r>
        <w:t>Policy and regulatory aspects of infrastructure sharing</w:t>
      </w:r>
    </w:p>
    <w:p w:rsidR="008E786A" w:rsidRDefault="008E786A" w:rsidP="008E786A">
      <w:pPr>
        <w:pStyle w:val="ListParagraph"/>
        <w:numPr>
          <w:ilvl w:val="1"/>
          <w:numId w:val="10"/>
        </w:numPr>
      </w:pPr>
      <w:r>
        <w:rPr>
          <w:color w:val="000000"/>
        </w:rPr>
        <w:t xml:space="preserve">ICT regulatory framework for M2M communications and </w:t>
      </w:r>
      <w:proofErr w:type="spellStart"/>
      <w:r>
        <w:rPr>
          <w:color w:val="000000"/>
        </w:rPr>
        <w:t>IoT</w:t>
      </w:r>
      <w:proofErr w:type="spellEnd"/>
      <w:r>
        <w:rPr>
          <w:color w:val="000000"/>
        </w:rPr>
        <w:t xml:space="preserve"> for the SATRC countries</w:t>
      </w:r>
    </w:p>
    <w:p w:rsidR="008E786A" w:rsidRDefault="008E786A" w:rsidP="008E786A">
      <w:pPr>
        <w:pStyle w:val="ListParagraph"/>
        <w:numPr>
          <w:ilvl w:val="1"/>
          <w:numId w:val="10"/>
        </w:numPr>
      </w:pPr>
      <w:r>
        <w:t>Enhanced consumer protection in digital economy (taking into account the issues of Cybersecurity, Big Data and Data sovereignty)</w:t>
      </w:r>
    </w:p>
    <w:p w:rsidR="008E786A" w:rsidRDefault="008E786A" w:rsidP="008E786A">
      <w:pPr>
        <w:pStyle w:val="ListParagraph"/>
        <w:numPr>
          <w:ilvl w:val="1"/>
          <w:numId w:val="10"/>
        </w:numPr>
      </w:pPr>
      <w:r>
        <w:t>Regulatory approaches to enhance broadband experiences</w:t>
      </w:r>
    </w:p>
    <w:p w:rsidR="008E786A" w:rsidRDefault="008E786A" w:rsidP="008E786A">
      <w:pPr>
        <w:pStyle w:val="ListParagraph"/>
        <w:numPr>
          <w:ilvl w:val="1"/>
          <w:numId w:val="10"/>
        </w:numPr>
      </w:pPr>
      <w:r>
        <w:t>Regulatory framework for Mobile Virtual Network Operators (MVNO)</w:t>
      </w:r>
    </w:p>
    <w:p w:rsidR="00E647EC" w:rsidRDefault="00E647EC" w:rsidP="00E647EC">
      <w:pPr>
        <w:pStyle w:val="ListParagraph"/>
      </w:pPr>
    </w:p>
    <w:p w:rsidR="00E647EC" w:rsidRDefault="00E647EC" w:rsidP="00E647EC">
      <w:pPr>
        <w:numPr>
          <w:ilvl w:val="0"/>
          <w:numId w:val="10"/>
        </w:numPr>
        <w:jc w:val="both"/>
      </w:pPr>
      <w:r>
        <w:t>Related presentations by the experts</w:t>
      </w:r>
    </w:p>
    <w:p w:rsidR="00136330" w:rsidRDefault="00136330" w:rsidP="00136330">
      <w:pPr>
        <w:pStyle w:val="ListParagraph"/>
      </w:pPr>
    </w:p>
    <w:p w:rsidR="008E786A" w:rsidRDefault="008E786A" w:rsidP="008E786A">
      <w:pPr>
        <w:numPr>
          <w:ilvl w:val="0"/>
          <w:numId w:val="10"/>
        </w:numPr>
        <w:jc w:val="both"/>
      </w:pPr>
      <w:bookmarkStart w:id="0" w:name="_GoBack"/>
      <w:bookmarkEnd w:id="0"/>
      <w:r>
        <w:t>Discussion on the draft outcomes for the Work Items</w:t>
      </w:r>
    </w:p>
    <w:p w:rsidR="00136330" w:rsidRDefault="00136330" w:rsidP="00136330">
      <w:pPr>
        <w:pStyle w:val="ListParagraph"/>
      </w:pPr>
    </w:p>
    <w:p w:rsidR="00136330" w:rsidRDefault="00136330" w:rsidP="00136330">
      <w:pPr>
        <w:numPr>
          <w:ilvl w:val="0"/>
          <w:numId w:val="10"/>
        </w:numPr>
        <w:jc w:val="both"/>
      </w:pPr>
      <w:r>
        <w:t>Any other business</w:t>
      </w:r>
    </w:p>
    <w:p w:rsidR="00136330" w:rsidRDefault="00136330" w:rsidP="00136330">
      <w:pPr>
        <w:pStyle w:val="ListParagraph"/>
      </w:pPr>
    </w:p>
    <w:p w:rsidR="00136330" w:rsidRDefault="00136330" w:rsidP="00136330">
      <w:pPr>
        <w:numPr>
          <w:ilvl w:val="0"/>
          <w:numId w:val="10"/>
        </w:numPr>
        <w:jc w:val="both"/>
      </w:pPr>
      <w:r>
        <w:t>Closing</w:t>
      </w:r>
    </w:p>
    <w:p w:rsidR="00136330" w:rsidRDefault="00136330" w:rsidP="00136330">
      <w:pPr>
        <w:ind w:left="720"/>
        <w:jc w:val="both"/>
      </w:pPr>
    </w:p>
    <w:p w:rsidR="00E620DA" w:rsidRDefault="00E620DA" w:rsidP="00E620DA">
      <w:pPr>
        <w:pStyle w:val="ListParagraph"/>
      </w:pPr>
    </w:p>
    <w:p w:rsidR="00C357AD" w:rsidRPr="008E0D78" w:rsidRDefault="00C357AD" w:rsidP="00C357AD">
      <w:pPr>
        <w:jc w:val="both"/>
      </w:pPr>
    </w:p>
    <w:p w:rsidR="00C357AD" w:rsidRPr="008E0D78" w:rsidRDefault="00C357AD" w:rsidP="00C357AD">
      <w:pPr>
        <w:jc w:val="both"/>
      </w:pPr>
    </w:p>
    <w:p w:rsidR="00FD592E" w:rsidRDefault="00C357AD" w:rsidP="009A4A6D">
      <w:pPr>
        <w:jc w:val="center"/>
        <w:rPr>
          <w:snapToGrid w:val="0"/>
        </w:rPr>
      </w:pPr>
      <w:r>
        <w:t>____________</w:t>
      </w:r>
    </w:p>
    <w:p w:rsidR="00FD592E" w:rsidRPr="00FD592E" w:rsidRDefault="00FD592E" w:rsidP="00FD592E"/>
    <w:p w:rsidR="00FD592E" w:rsidRDefault="00FD592E" w:rsidP="00FD592E"/>
    <w:p w:rsidR="00DA7595" w:rsidRPr="00FD592E" w:rsidRDefault="00FD592E" w:rsidP="00FD592E">
      <w:pPr>
        <w:tabs>
          <w:tab w:val="left" w:pos="1830"/>
        </w:tabs>
      </w:pPr>
      <w:r>
        <w:tab/>
      </w:r>
    </w:p>
    <w:sectPr w:rsidR="00DA7595" w:rsidRPr="00FD592E" w:rsidSect="00DB0A68">
      <w:headerReference w:type="default" r:id="rId8"/>
      <w:footerReference w:type="even" r:id="rId9"/>
      <w:footerReference w:type="default" r:id="rId10"/>
      <w:footerReference w:type="first" r:id="rId11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A82" w:rsidRDefault="00262A82">
      <w:r>
        <w:separator/>
      </w:r>
    </w:p>
  </w:endnote>
  <w:endnote w:type="continuationSeparator" w:id="0">
    <w:p w:rsidR="00262A82" w:rsidRDefault="00262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3B" w:rsidRDefault="00CD3EAC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769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3B" w:rsidRDefault="002C7EA9" w:rsidP="002C7EA9">
    <w:pPr>
      <w:pStyle w:val="Footer"/>
      <w:ind w:right="360"/>
      <w:jc w:val="right"/>
      <w:rPr>
        <w:rStyle w:val="PageNumber"/>
      </w:rPr>
    </w:pPr>
    <w:r w:rsidRPr="002C7EA9">
      <w:rPr>
        <w:rStyle w:val="PageNumber"/>
      </w:rPr>
      <w:t xml:space="preserve">Page </w:t>
    </w:r>
    <w:r w:rsidR="00CD3EAC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="00CD3EAC" w:rsidRPr="002C7EA9">
      <w:rPr>
        <w:rStyle w:val="PageNumber"/>
      </w:rPr>
      <w:fldChar w:fldCharType="separate"/>
    </w:r>
    <w:r w:rsidR="00E61EC1">
      <w:rPr>
        <w:rStyle w:val="PageNumber"/>
        <w:noProof/>
      </w:rPr>
      <w:t>2</w:t>
    </w:r>
    <w:r w:rsidR="00CD3EAC"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="00CD3EAC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="00CD3EAC" w:rsidRPr="002C7EA9">
      <w:rPr>
        <w:rStyle w:val="PageNumber"/>
      </w:rPr>
      <w:fldChar w:fldCharType="separate"/>
    </w:r>
    <w:r w:rsidR="00082E14">
      <w:rPr>
        <w:rStyle w:val="PageNumber"/>
        <w:noProof/>
      </w:rPr>
      <w:t>1</w:t>
    </w:r>
    <w:r w:rsidR="00CD3EAC" w:rsidRPr="002C7EA9"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3B" w:rsidRDefault="0097693B"/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b/>
              <w:bCs/>
            </w:rPr>
          </w:pPr>
        </w:p>
      </w:tc>
      <w:tc>
        <w:tcPr>
          <w:tcW w:w="4394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lang w:eastAsia="ja-JP"/>
            </w:rPr>
          </w:pPr>
        </w:p>
      </w:tc>
    </w:tr>
  </w:tbl>
  <w:p w:rsidR="0097693B" w:rsidRDefault="009769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A82" w:rsidRDefault="00262A82">
      <w:r>
        <w:separator/>
      </w:r>
    </w:p>
  </w:footnote>
  <w:footnote w:type="continuationSeparator" w:id="0">
    <w:p w:rsidR="00262A82" w:rsidRDefault="00262A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3B" w:rsidRDefault="0097693B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  <w:r w:rsidR="00C15633">
      <w:rPr>
        <w:rFonts w:hint="eastAsia"/>
        <w:lang w:eastAsia="ko-KR"/>
      </w:rPr>
      <w:t>A</w:t>
    </w:r>
    <w:r w:rsidR="00E035A1">
      <w:rPr>
        <w:lang w:eastAsia="ko-KR"/>
      </w:rPr>
      <w:t>WF</w:t>
    </w:r>
    <w:r>
      <w:rPr>
        <w:rFonts w:hint="eastAsia"/>
        <w:lang w:eastAsia="ko-KR"/>
      </w:rPr>
      <w:t>-</w:t>
    </w:r>
    <w:r w:rsidR="00614171">
      <w:rPr>
        <w:lang w:eastAsia="ko-KR"/>
      </w:rPr>
      <w:t>5</w:t>
    </w:r>
    <w:r>
      <w:rPr>
        <w:rFonts w:hint="eastAsia"/>
        <w:lang w:eastAsia="ko-KR"/>
      </w:rPr>
      <w:t>/ XX</w:t>
    </w:r>
  </w:p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5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435557F8"/>
    <w:multiLevelType w:val="hybridMultilevel"/>
    <w:tmpl w:val="1940E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A1510C"/>
    <w:multiLevelType w:val="hybridMultilevel"/>
    <w:tmpl w:val="0DA48C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B3B1048"/>
    <w:multiLevelType w:val="hybridMultilevel"/>
    <w:tmpl w:val="B972B8DC"/>
    <w:lvl w:ilvl="0" w:tplc="0409000F">
      <w:start w:val="1"/>
      <w:numFmt w:val="decimal"/>
      <w:lvlText w:val="%1."/>
      <w:lvlJc w:val="left"/>
      <w:pPr>
        <w:ind w:left="855" w:hanging="360"/>
      </w:pPr>
    </w:lvl>
    <w:lvl w:ilvl="1" w:tplc="04090019">
      <w:start w:val="1"/>
      <w:numFmt w:val="lowerLetter"/>
      <w:lvlText w:val="%2."/>
      <w:lvlJc w:val="left"/>
      <w:pPr>
        <w:ind w:left="1575" w:hanging="360"/>
      </w:pPr>
    </w:lvl>
    <w:lvl w:ilvl="2" w:tplc="0409001B">
      <w:start w:val="1"/>
      <w:numFmt w:val="lowerRoman"/>
      <w:lvlText w:val="%3."/>
      <w:lvlJc w:val="right"/>
      <w:pPr>
        <w:ind w:left="2295" w:hanging="180"/>
      </w:pPr>
    </w:lvl>
    <w:lvl w:ilvl="3" w:tplc="0409000F">
      <w:start w:val="1"/>
      <w:numFmt w:val="decimal"/>
      <w:lvlText w:val="%4."/>
      <w:lvlJc w:val="left"/>
      <w:pPr>
        <w:ind w:left="3015" w:hanging="360"/>
      </w:pPr>
    </w:lvl>
    <w:lvl w:ilvl="4" w:tplc="04090019">
      <w:start w:val="1"/>
      <w:numFmt w:val="lowerLetter"/>
      <w:lvlText w:val="%5."/>
      <w:lvlJc w:val="left"/>
      <w:pPr>
        <w:ind w:left="3735" w:hanging="360"/>
      </w:pPr>
    </w:lvl>
    <w:lvl w:ilvl="5" w:tplc="0409001B">
      <w:start w:val="1"/>
      <w:numFmt w:val="lowerRoman"/>
      <w:lvlText w:val="%6."/>
      <w:lvlJc w:val="right"/>
      <w:pPr>
        <w:ind w:left="4455" w:hanging="180"/>
      </w:pPr>
    </w:lvl>
    <w:lvl w:ilvl="6" w:tplc="0409000F">
      <w:start w:val="1"/>
      <w:numFmt w:val="decimal"/>
      <w:lvlText w:val="%7."/>
      <w:lvlJc w:val="left"/>
      <w:pPr>
        <w:ind w:left="5175" w:hanging="360"/>
      </w:pPr>
    </w:lvl>
    <w:lvl w:ilvl="7" w:tplc="04090019">
      <w:start w:val="1"/>
      <w:numFmt w:val="lowerLetter"/>
      <w:lvlText w:val="%8."/>
      <w:lvlJc w:val="left"/>
      <w:pPr>
        <w:ind w:left="5895" w:hanging="360"/>
      </w:pPr>
    </w:lvl>
    <w:lvl w:ilvl="8" w:tplc="0409001B">
      <w:start w:val="1"/>
      <w:numFmt w:val="lowerRoman"/>
      <w:lvlText w:val="%9."/>
      <w:lvlJc w:val="right"/>
      <w:pPr>
        <w:ind w:left="6615" w:hanging="180"/>
      </w:pPr>
    </w:lvl>
  </w:abstractNum>
  <w:abstractNum w:abstractNumId="1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0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8"/>
  </w:num>
  <w:num w:numId="10">
    <w:abstractNumId w:val="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CD6E7F"/>
    <w:rsid w:val="000011E8"/>
    <w:rsid w:val="0002421D"/>
    <w:rsid w:val="0003595B"/>
    <w:rsid w:val="0006484D"/>
    <w:rsid w:val="00082E14"/>
    <w:rsid w:val="00083D96"/>
    <w:rsid w:val="000A4256"/>
    <w:rsid w:val="000E3F82"/>
    <w:rsid w:val="000F5540"/>
    <w:rsid w:val="00136330"/>
    <w:rsid w:val="00196568"/>
    <w:rsid w:val="001B18C2"/>
    <w:rsid w:val="001D5D7E"/>
    <w:rsid w:val="00254A1B"/>
    <w:rsid w:val="00262A82"/>
    <w:rsid w:val="00262EAB"/>
    <w:rsid w:val="0028454D"/>
    <w:rsid w:val="00286990"/>
    <w:rsid w:val="002926D4"/>
    <w:rsid w:val="002C07DA"/>
    <w:rsid w:val="002C7EA9"/>
    <w:rsid w:val="002F2C66"/>
    <w:rsid w:val="0034071B"/>
    <w:rsid w:val="00360BBE"/>
    <w:rsid w:val="003A232C"/>
    <w:rsid w:val="003B6263"/>
    <w:rsid w:val="003C64A7"/>
    <w:rsid w:val="003D3FDA"/>
    <w:rsid w:val="003F2317"/>
    <w:rsid w:val="00420822"/>
    <w:rsid w:val="0045458F"/>
    <w:rsid w:val="00486F61"/>
    <w:rsid w:val="0049660E"/>
    <w:rsid w:val="004D710C"/>
    <w:rsid w:val="00530E8C"/>
    <w:rsid w:val="005601E5"/>
    <w:rsid w:val="00587875"/>
    <w:rsid w:val="00594B2B"/>
    <w:rsid w:val="00607E2B"/>
    <w:rsid w:val="00614171"/>
    <w:rsid w:val="0063062B"/>
    <w:rsid w:val="00643643"/>
    <w:rsid w:val="00666152"/>
    <w:rsid w:val="00667229"/>
    <w:rsid w:val="00682BE5"/>
    <w:rsid w:val="0074190C"/>
    <w:rsid w:val="00762576"/>
    <w:rsid w:val="007C12CE"/>
    <w:rsid w:val="0080570B"/>
    <w:rsid w:val="008148E1"/>
    <w:rsid w:val="008D0E09"/>
    <w:rsid w:val="008E0D78"/>
    <w:rsid w:val="008E786A"/>
    <w:rsid w:val="0092792A"/>
    <w:rsid w:val="00942794"/>
    <w:rsid w:val="00961C8A"/>
    <w:rsid w:val="0097693B"/>
    <w:rsid w:val="009A4A6D"/>
    <w:rsid w:val="00A01F69"/>
    <w:rsid w:val="00A217C7"/>
    <w:rsid w:val="00A438A8"/>
    <w:rsid w:val="00A548EF"/>
    <w:rsid w:val="00A910C2"/>
    <w:rsid w:val="00AA474C"/>
    <w:rsid w:val="00AD7E5F"/>
    <w:rsid w:val="00B13319"/>
    <w:rsid w:val="00B25D6A"/>
    <w:rsid w:val="00B30C81"/>
    <w:rsid w:val="00BF663E"/>
    <w:rsid w:val="00C1244B"/>
    <w:rsid w:val="00C15633"/>
    <w:rsid w:val="00C357AD"/>
    <w:rsid w:val="00CD2F4E"/>
    <w:rsid w:val="00CD3EAC"/>
    <w:rsid w:val="00CD5431"/>
    <w:rsid w:val="00CD6E7F"/>
    <w:rsid w:val="00CD75B4"/>
    <w:rsid w:val="00CE74EB"/>
    <w:rsid w:val="00CF2491"/>
    <w:rsid w:val="00D57772"/>
    <w:rsid w:val="00D75A4D"/>
    <w:rsid w:val="00D8478B"/>
    <w:rsid w:val="00D86151"/>
    <w:rsid w:val="00D93F67"/>
    <w:rsid w:val="00DA7595"/>
    <w:rsid w:val="00DB0A68"/>
    <w:rsid w:val="00DC43A3"/>
    <w:rsid w:val="00DD0935"/>
    <w:rsid w:val="00E035A1"/>
    <w:rsid w:val="00E11CD0"/>
    <w:rsid w:val="00E61EC1"/>
    <w:rsid w:val="00E620DA"/>
    <w:rsid w:val="00E647EC"/>
    <w:rsid w:val="00E658FA"/>
    <w:rsid w:val="00E674D3"/>
    <w:rsid w:val="00EE5669"/>
    <w:rsid w:val="00F84067"/>
    <w:rsid w:val="00FC2CE0"/>
    <w:rsid w:val="00FD5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8E0D7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APT%20Docs\SATRC\SATRC-11\SATRC-11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SATRC-11 Document Template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APT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Parvez</dc:creator>
  <cp:lastModifiedBy>Pornpan Sirayathorn</cp:lastModifiedBy>
  <cp:revision>2</cp:revision>
  <cp:lastPrinted>2015-01-05T08:46:00Z</cp:lastPrinted>
  <dcterms:created xsi:type="dcterms:W3CDTF">2017-01-30T07:09:00Z</dcterms:created>
  <dcterms:modified xsi:type="dcterms:W3CDTF">2017-01-30T07:09:00Z</dcterms:modified>
</cp:coreProperties>
</file>