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770"/>
        <w:gridCol w:w="780"/>
        <w:gridCol w:w="111"/>
        <w:gridCol w:w="2109"/>
      </w:tblGrid>
      <w:tr w:rsidR="00DA7595" w:rsidRPr="00891D0B" w:rsidTr="00614171">
        <w:trPr>
          <w:cantSplit/>
        </w:trPr>
        <w:tc>
          <w:tcPr>
            <w:tcW w:w="1399" w:type="dxa"/>
            <w:vMerge w:val="restart"/>
          </w:tcPr>
          <w:p w:rsidR="00DA7595" w:rsidRPr="00891D0B" w:rsidRDefault="000941C0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14375" cy="6325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 APTlogog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52" cy="64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3"/>
          </w:tcPr>
          <w:p w:rsidR="00DA7595" w:rsidRPr="00891D0B" w:rsidRDefault="00DA7595" w:rsidP="0045458F"/>
        </w:tc>
        <w:tc>
          <w:tcPr>
            <w:tcW w:w="210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891D0B" w:rsidTr="00E61EC1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080" w:type="dxa"/>
            <w:gridSpan w:val="3"/>
          </w:tcPr>
          <w:p w:rsidR="00DA7595" w:rsidRPr="00891D0B" w:rsidRDefault="00B55A0D" w:rsidP="00A36BE6">
            <w:pPr>
              <w:spacing w:line="0" w:lineRule="atLeast"/>
            </w:pPr>
            <w:r>
              <w:rPr>
                <w:b/>
                <w:bCs/>
              </w:rPr>
              <w:t>SATRC</w:t>
            </w:r>
            <w:r w:rsidR="002C4D91">
              <w:rPr>
                <w:b/>
                <w:bCs/>
              </w:rPr>
              <w:t xml:space="preserve"> Workshop on </w:t>
            </w:r>
            <w:r w:rsidR="00A36BE6">
              <w:rPr>
                <w:b/>
                <w:bCs/>
              </w:rPr>
              <w:t>Policy, Regulation and Services</w:t>
            </w:r>
            <w:r w:rsidR="002C4D91">
              <w:t xml:space="preserve"> </w:t>
            </w:r>
          </w:p>
        </w:tc>
        <w:tc>
          <w:tcPr>
            <w:tcW w:w="2220" w:type="dxa"/>
            <w:gridSpan w:val="2"/>
          </w:tcPr>
          <w:p w:rsidR="00DA7595" w:rsidRPr="004D7A60" w:rsidRDefault="00DA7595" w:rsidP="0045458F">
            <w:pPr>
              <w:rPr>
                <w:b/>
                <w:bCs/>
              </w:rPr>
            </w:pPr>
          </w:p>
          <w:p w:rsidR="00DA7595" w:rsidRPr="004D7A60" w:rsidRDefault="00DA7595" w:rsidP="0045458F">
            <w:pPr>
              <w:rPr>
                <w:b/>
                <w:bCs/>
              </w:rPr>
            </w:pPr>
          </w:p>
        </w:tc>
      </w:tr>
      <w:tr w:rsidR="00DA7595" w:rsidRPr="00891D0B" w:rsidTr="00E61EC1">
        <w:trPr>
          <w:cantSplit/>
          <w:trHeight w:val="219"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300" w:type="dxa"/>
            <w:gridSpan w:val="2"/>
          </w:tcPr>
          <w:p w:rsidR="00DA7595" w:rsidRPr="00891D0B" w:rsidRDefault="00DD1618" w:rsidP="00DD1618">
            <w:r>
              <w:t>21</w:t>
            </w:r>
            <w:r w:rsidR="001B18C2">
              <w:t xml:space="preserve"> </w:t>
            </w:r>
            <w:r w:rsidR="00DB0A68">
              <w:t xml:space="preserve">– </w:t>
            </w:r>
            <w:r>
              <w:t>23</w:t>
            </w:r>
            <w:r w:rsidR="00DB0A68">
              <w:t xml:space="preserve"> </w:t>
            </w:r>
            <w:r>
              <w:t xml:space="preserve">December </w:t>
            </w:r>
            <w:r w:rsidR="00DA7595">
              <w:t>20</w:t>
            </w:r>
            <w:r w:rsidR="000941C0">
              <w:t>15</w:t>
            </w:r>
            <w:r w:rsidR="00DA7595" w:rsidRPr="00891D0B">
              <w:t xml:space="preserve">, </w:t>
            </w:r>
            <w:proofErr w:type="spellStart"/>
            <w:r w:rsidR="000941C0">
              <w:t>Pokhara</w:t>
            </w:r>
            <w:proofErr w:type="spellEnd"/>
            <w:r w:rsidR="00DA7595">
              <w:t xml:space="preserve">, </w:t>
            </w:r>
            <w:r w:rsidR="00A36BE6">
              <w:t>Nepal</w:t>
            </w:r>
          </w:p>
        </w:tc>
        <w:tc>
          <w:tcPr>
            <w:tcW w:w="780" w:type="dxa"/>
          </w:tcPr>
          <w:p w:rsidR="00DA7595" w:rsidRPr="00891D0B" w:rsidRDefault="00DA7595" w:rsidP="0045458F"/>
        </w:tc>
        <w:tc>
          <w:tcPr>
            <w:tcW w:w="2220" w:type="dxa"/>
            <w:gridSpan w:val="2"/>
          </w:tcPr>
          <w:p w:rsidR="00D86151" w:rsidRPr="002C4D91" w:rsidRDefault="00D86151" w:rsidP="00E27437">
            <w:pPr>
              <w:pStyle w:val="Heading1"/>
              <w:jc w:val="left"/>
              <w:rPr>
                <w:u w:val="none"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C357AD" w:rsidRPr="00607E2B" w:rsidRDefault="002C4D91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Tentative agenda of the workshop</w:t>
      </w:r>
    </w:p>
    <w:p w:rsidR="00DB0A68" w:rsidRDefault="00DB0A68" w:rsidP="00C357AD">
      <w:pPr>
        <w:jc w:val="center"/>
      </w:pPr>
    </w:p>
    <w:p w:rsidR="002C4D91" w:rsidRPr="00F26CFC" w:rsidRDefault="002C4D91" w:rsidP="002C4D91">
      <w:pPr>
        <w:numPr>
          <w:ilvl w:val="0"/>
          <w:numId w:val="9"/>
        </w:numPr>
        <w:rPr>
          <w:b/>
          <w:bCs/>
          <w:color w:val="000000"/>
        </w:rPr>
      </w:pPr>
      <w:r w:rsidRPr="00F26CFC">
        <w:rPr>
          <w:b/>
          <w:bCs/>
          <w:color w:val="000000"/>
        </w:rPr>
        <w:t>Opening</w:t>
      </w:r>
    </w:p>
    <w:p w:rsidR="002C4D91" w:rsidRPr="002C4D91" w:rsidRDefault="002C4D91" w:rsidP="002C4D91">
      <w:pPr>
        <w:ind w:left="360"/>
        <w:rPr>
          <w:color w:val="000000"/>
        </w:rPr>
      </w:pPr>
    </w:p>
    <w:p w:rsidR="002C4D91" w:rsidRPr="00F26CFC" w:rsidRDefault="000941C0" w:rsidP="002C4D91">
      <w:pPr>
        <w:numPr>
          <w:ilvl w:val="0"/>
          <w:numId w:val="9"/>
        </w:num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Presentation of the </w:t>
      </w:r>
      <w:r w:rsidR="00005966">
        <w:rPr>
          <w:b/>
          <w:bCs/>
          <w:color w:val="000000"/>
        </w:rPr>
        <w:t>SATRC Action P</w:t>
      </w:r>
      <w:r w:rsidR="00E27437">
        <w:rPr>
          <w:b/>
          <w:bCs/>
          <w:color w:val="000000"/>
        </w:rPr>
        <w:t xml:space="preserve">lan </w:t>
      </w:r>
      <w:r>
        <w:rPr>
          <w:b/>
          <w:bCs/>
          <w:color w:val="000000"/>
        </w:rPr>
        <w:t xml:space="preserve">Phase </w:t>
      </w:r>
      <w:r w:rsidR="00E27437">
        <w:rPr>
          <w:b/>
          <w:bCs/>
          <w:color w:val="000000"/>
        </w:rPr>
        <w:t>V</w:t>
      </w:r>
    </w:p>
    <w:p w:rsidR="002C4D91" w:rsidRPr="00F26CFC" w:rsidRDefault="002C4D91" w:rsidP="002C4D91">
      <w:pPr>
        <w:pStyle w:val="ListParagraph"/>
        <w:rPr>
          <w:b/>
          <w:bCs/>
          <w:color w:val="000000"/>
        </w:rPr>
      </w:pPr>
    </w:p>
    <w:p w:rsidR="00C357AD" w:rsidRPr="00F26CFC" w:rsidRDefault="00A016DB" w:rsidP="002C4D91">
      <w:pPr>
        <w:numPr>
          <w:ilvl w:val="0"/>
          <w:numId w:val="9"/>
        </w:numPr>
        <w:rPr>
          <w:b/>
          <w:bCs/>
          <w:color w:val="000000"/>
        </w:rPr>
      </w:pPr>
      <w:r w:rsidRPr="00F26CFC">
        <w:rPr>
          <w:b/>
          <w:bCs/>
          <w:color w:val="000000"/>
        </w:rPr>
        <w:t>Objectives of the workshop and p</w:t>
      </w:r>
      <w:r w:rsidR="002C4D91" w:rsidRPr="00F26CFC">
        <w:rPr>
          <w:b/>
          <w:bCs/>
          <w:color w:val="000000"/>
        </w:rPr>
        <w:t xml:space="preserve">resentation of </w:t>
      </w:r>
      <w:r w:rsidR="00E27437">
        <w:rPr>
          <w:b/>
          <w:bCs/>
          <w:color w:val="000000"/>
        </w:rPr>
        <w:t xml:space="preserve">about the activities of </w:t>
      </w:r>
      <w:r w:rsidR="002C4D91" w:rsidRPr="00F26CFC">
        <w:rPr>
          <w:b/>
          <w:bCs/>
          <w:color w:val="000000"/>
        </w:rPr>
        <w:t xml:space="preserve"> SATRC Working Group on </w:t>
      </w:r>
      <w:r w:rsidR="00005966">
        <w:rPr>
          <w:b/>
          <w:bCs/>
          <w:color w:val="000000"/>
        </w:rPr>
        <w:t xml:space="preserve"> </w:t>
      </w:r>
      <w:r w:rsidR="00F708AA">
        <w:rPr>
          <w:b/>
          <w:bCs/>
          <w:color w:val="000000"/>
        </w:rPr>
        <w:t>Policy, Regulation and Services</w:t>
      </w:r>
    </w:p>
    <w:p w:rsidR="00A016DB" w:rsidRPr="00F26CFC" w:rsidRDefault="00A016DB" w:rsidP="00A016DB">
      <w:pPr>
        <w:pStyle w:val="ListParagraph"/>
        <w:rPr>
          <w:b/>
          <w:bCs/>
          <w:color w:val="000000"/>
        </w:rPr>
      </w:pPr>
    </w:p>
    <w:p w:rsidR="00A016DB" w:rsidRPr="00F26CFC" w:rsidRDefault="00A016DB" w:rsidP="002C4D91">
      <w:pPr>
        <w:numPr>
          <w:ilvl w:val="0"/>
          <w:numId w:val="9"/>
        </w:numPr>
        <w:rPr>
          <w:b/>
          <w:bCs/>
          <w:color w:val="000000"/>
        </w:rPr>
      </w:pPr>
      <w:r w:rsidRPr="00F26CFC">
        <w:rPr>
          <w:b/>
          <w:bCs/>
          <w:color w:val="000000"/>
        </w:rPr>
        <w:t xml:space="preserve">Presentations and discussions on issues related to </w:t>
      </w:r>
      <w:r w:rsidR="00F708AA">
        <w:rPr>
          <w:b/>
          <w:bCs/>
          <w:color w:val="000000"/>
        </w:rPr>
        <w:t>Policy, Regulation and Services</w:t>
      </w:r>
      <w:r w:rsidR="00005966">
        <w:rPr>
          <w:b/>
          <w:bCs/>
          <w:color w:val="000000"/>
        </w:rPr>
        <w:t xml:space="preserve"> </w:t>
      </w:r>
    </w:p>
    <w:p w:rsidR="00A016DB" w:rsidRDefault="00A016DB" w:rsidP="00A016DB">
      <w:pPr>
        <w:pStyle w:val="ListParagraph"/>
        <w:rPr>
          <w:color w:val="000000"/>
        </w:rPr>
      </w:pPr>
    </w:p>
    <w:p w:rsidR="00A016DB" w:rsidRDefault="00577E6D" w:rsidP="00732622">
      <w:pPr>
        <w:numPr>
          <w:ilvl w:val="1"/>
          <w:numId w:val="9"/>
        </w:numPr>
        <w:spacing w:line="360" w:lineRule="auto"/>
        <w:rPr>
          <w:color w:val="000000"/>
        </w:rPr>
      </w:pPr>
      <w:r>
        <w:rPr>
          <w:color w:val="000000"/>
        </w:rPr>
        <w:t>Measures to protect the interests of consumers of telecom services</w:t>
      </w:r>
    </w:p>
    <w:p w:rsidR="00F708AA" w:rsidRDefault="00577E6D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 xml:space="preserve">Status of measures of consumer protection in SATRC countries on the areas of complaint </w:t>
      </w:r>
      <w:proofErr w:type="spellStart"/>
      <w:r>
        <w:rPr>
          <w:color w:val="000000"/>
        </w:rPr>
        <w:t>redresal</w:t>
      </w:r>
      <w:proofErr w:type="spellEnd"/>
      <w:r>
        <w:rPr>
          <w:color w:val="000000"/>
        </w:rPr>
        <w:t xml:space="preserve">, quality of services, billing accuracy, unsolicited commercial communications and mobile number portability </w:t>
      </w:r>
    </w:p>
    <w:p w:rsidR="003D2996" w:rsidRDefault="00577E6D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Issues and concerns raised by the consumers</w:t>
      </w:r>
    </w:p>
    <w:p w:rsidR="00577E6D" w:rsidRDefault="00577E6D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 xml:space="preserve">Initiative and achievement by the operators to address the consumer interest </w:t>
      </w:r>
    </w:p>
    <w:p w:rsidR="003D2996" w:rsidRDefault="00577E6D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International best practices</w:t>
      </w:r>
    </w:p>
    <w:p w:rsidR="00351FA5" w:rsidRDefault="00351FA5" w:rsidP="00351FA5">
      <w:pPr>
        <w:ind w:left="1800"/>
        <w:rPr>
          <w:color w:val="000000"/>
        </w:rPr>
      </w:pPr>
    </w:p>
    <w:p w:rsidR="00F708AA" w:rsidRDefault="00577E6D" w:rsidP="003D2996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Policy, regulatory and technical aspect of OTT services in SATRC countries</w:t>
      </w:r>
    </w:p>
    <w:p w:rsidR="003D2996" w:rsidRDefault="00F93255" w:rsidP="003D2996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 xml:space="preserve">OTT </w:t>
      </w:r>
      <w:r w:rsidR="00353651">
        <w:rPr>
          <w:color w:val="000000"/>
        </w:rPr>
        <w:t>concerns and challenges</w:t>
      </w:r>
    </w:p>
    <w:p w:rsidR="003D2996" w:rsidRDefault="00F93255" w:rsidP="003D2996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Policy issues associated with OTT services</w:t>
      </w:r>
    </w:p>
    <w:p w:rsidR="003D2996" w:rsidRPr="00F93255" w:rsidRDefault="00F93255" w:rsidP="00D23B6E">
      <w:pPr>
        <w:numPr>
          <w:ilvl w:val="2"/>
          <w:numId w:val="9"/>
        </w:numPr>
        <w:rPr>
          <w:color w:val="000000"/>
        </w:rPr>
      </w:pPr>
      <w:r w:rsidRPr="00F93255">
        <w:rPr>
          <w:color w:val="000000"/>
        </w:rPr>
        <w:t xml:space="preserve">Challenge </w:t>
      </w:r>
      <w:r w:rsidR="00353651">
        <w:rPr>
          <w:color w:val="000000"/>
        </w:rPr>
        <w:t>f</w:t>
      </w:r>
      <w:r w:rsidRPr="00F93255">
        <w:rPr>
          <w:color w:val="000000"/>
        </w:rPr>
        <w:t xml:space="preserve">or the operators </w:t>
      </w:r>
      <w:r>
        <w:rPr>
          <w:color w:val="000000"/>
        </w:rPr>
        <w:t xml:space="preserve"> and h</w:t>
      </w:r>
      <w:r w:rsidRPr="00F93255">
        <w:rPr>
          <w:color w:val="000000"/>
        </w:rPr>
        <w:t xml:space="preserve">ow the operator can change or adopt to a different business model to deal with </w:t>
      </w:r>
      <w:r>
        <w:rPr>
          <w:color w:val="000000"/>
        </w:rPr>
        <w:t>OTTs</w:t>
      </w:r>
    </w:p>
    <w:p w:rsidR="003D2996" w:rsidRDefault="00F93255" w:rsidP="003D2996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Recommended policy for OTTs</w:t>
      </w:r>
    </w:p>
    <w:p w:rsidR="003D2996" w:rsidRDefault="003D2996" w:rsidP="003D2996">
      <w:pPr>
        <w:ind w:left="1800"/>
        <w:rPr>
          <w:color w:val="000000"/>
        </w:rPr>
      </w:pPr>
      <w:r>
        <w:rPr>
          <w:color w:val="000000"/>
        </w:rPr>
        <w:t xml:space="preserve"> </w:t>
      </w:r>
    </w:p>
    <w:p w:rsidR="00F708AA" w:rsidRDefault="00C06FF8" w:rsidP="00351FA5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Emerging licensing framework including exit and relicensing policy</w:t>
      </w:r>
    </w:p>
    <w:p w:rsidR="0048150D" w:rsidRDefault="00C06FF8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Key aspects of emerging licensing frameworks</w:t>
      </w:r>
    </w:p>
    <w:p w:rsidR="00351FA5" w:rsidRDefault="00C06FF8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Relicensing, renewal/extension of license and exit policies</w:t>
      </w:r>
    </w:p>
    <w:p w:rsidR="00351FA5" w:rsidRDefault="00C06FF8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 xml:space="preserve">Coexistence of licenses and issues concerning the practical implementation </w:t>
      </w:r>
    </w:p>
    <w:p w:rsidR="00351FA5" w:rsidRDefault="00351FA5" w:rsidP="00351FA5">
      <w:pPr>
        <w:ind w:left="1800"/>
        <w:rPr>
          <w:color w:val="000000"/>
        </w:rPr>
      </w:pPr>
    </w:p>
    <w:p w:rsidR="00F708AA" w:rsidRDefault="00C06FF8" w:rsidP="00732622">
      <w:pPr>
        <w:numPr>
          <w:ilvl w:val="1"/>
          <w:numId w:val="9"/>
        </w:numPr>
        <w:spacing w:line="360" w:lineRule="auto"/>
        <w:rPr>
          <w:color w:val="000000"/>
        </w:rPr>
      </w:pPr>
      <w:r>
        <w:rPr>
          <w:color w:val="000000"/>
        </w:rPr>
        <w:t>International connectivity for the provision of providing broadband services</w:t>
      </w:r>
    </w:p>
    <w:p w:rsidR="00351FA5" w:rsidRDefault="00C06FF8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Current situation in relation to the cost of providing broadband services in SATRC countries</w:t>
      </w:r>
    </w:p>
    <w:p w:rsidR="00351FA5" w:rsidRDefault="00C06FF8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>Regional initiatives with possible alternatives for lowering cost for the international connectivity</w:t>
      </w:r>
    </w:p>
    <w:p w:rsidR="00351FA5" w:rsidRDefault="00351FA5" w:rsidP="00351FA5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 xml:space="preserve">A way forward for future </w:t>
      </w:r>
    </w:p>
    <w:p w:rsidR="00351FA5" w:rsidRDefault="00351FA5" w:rsidP="00351FA5">
      <w:pPr>
        <w:ind w:left="1800"/>
        <w:rPr>
          <w:color w:val="000000"/>
        </w:rPr>
      </w:pPr>
    </w:p>
    <w:p w:rsidR="000950E8" w:rsidRPr="000950E8" w:rsidRDefault="000950E8" w:rsidP="000950E8">
      <w:pPr>
        <w:spacing w:line="360" w:lineRule="auto"/>
        <w:ind w:left="1080"/>
        <w:rPr>
          <w:color w:val="000000"/>
        </w:rPr>
      </w:pPr>
    </w:p>
    <w:p w:rsidR="000950E8" w:rsidRPr="000950E8" w:rsidRDefault="000950E8" w:rsidP="000950E8">
      <w:pPr>
        <w:numPr>
          <w:ilvl w:val="0"/>
          <w:numId w:val="9"/>
        </w:numPr>
        <w:spacing w:line="360" w:lineRule="auto"/>
        <w:rPr>
          <w:b/>
          <w:color w:val="000000"/>
        </w:rPr>
      </w:pPr>
      <w:r w:rsidRPr="000950E8">
        <w:rPr>
          <w:b/>
          <w:color w:val="000000"/>
        </w:rPr>
        <w:t>Closing</w:t>
      </w:r>
    </w:p>
    <w:sectPr w:rsidR="000950E8" w:rsidRPr="000950E8" w:rsidSect="00351FA5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432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D2" w:rsidRDefault="007A36D2">
      <w:r>
        <w:separator/>
      </w:r>
    </w:p>
  </w:endnote>
  <w:endnote w:type="continuationSeparator" w:id="0">
    <w:p w:rsidR="007A36D2" w:rsidRDefault="007A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A" w:rsidRDefault="0004382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82A" w:rsidRDefault="0004382A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A" w:rsidRDefault="0004382A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06FF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06FF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A" w:rsidRDefault="0004382A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04382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04382A" w:rsidRDefault="0004382A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04382A" w:rsidRDefault="0004382A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04382A" w:rsidRDefault="0004382A" w:rsidP="00762576">
          <w:pPr>
            <w:rPr>
              <w:lang w:eastAsia="ja-JP"/>
            </w:rPr>
          </w:pPr>
        </w:p>
      </w:tc>
    </w:tr>
  </w:tbl>
  <w:p w:rsidR="0004382A" w:rsidRDefault="00043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D2" w:rsidRDefault="007A36D2">
      <w:r>
        <w:separator/>
      </w:r>
    </w:p>
  </w:footnote>
  <w:footnote w:type="continuationSeparator" w:id="0">
    <w:p w:rsidR="007A36D2" w:rsidRDefault="007A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A" w:rsidRDefault="0004382A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WF</w:t>
    </w:r>
    <w:r>
      <w:rPr>
        <w:rFonts w:hint="eastAsia"/>
        <w:lang w:eastAsia="ko-KR"/>
      </w:rPr>
      <w:t>-</w:t>
    </w:r>
    <w:r>
      <w:rPr>
        <w:lang w:eastAsia="ko-KR"/>
      </w:rPr>
      <w:t>5</w:t>
    </w:r>
    <w:r>
      <w:rPr>
        <w:rFonts w:hint="eastAsia"/>
        <w:lang w:eastAsia="ko-KR"/>
      </w:rPr>
      <w:t>/ XX</w:t>
    </w:r>
  </w:p>
  <w:p w:rsidR="0004382A" w:rsidRDefault="0004382A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102A9E"/>
    <w:multiLevelType w:val="hybridMultilevel"/>
    <w:tmpl w:val="5AAA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11E8"/>
    <w:rsid w:val="00005966"/>
    <w:rsid w:val="0003595B"/>
    <w:rsid w:val="0004382A"/>
    <w:rsid w:val="000941C0"/>
    <w:rsid w:val="000950E8"/>
    <w:rsid w:val="000A4256"/>
    <w:rsid w:val="000F5540"/>
    <w:rsid w:val="00173D20"/>
    <w:rsid w:val="00196568"/>
    <w:rsid w:val="001B18C2"/>
    <w:rsid w:val="001D5D7E"/>
    <w:rsid w:val="00254A1B"/>
    <w:rsid w:val="00262EAB"/>
    <w:rsid w:val="0028454D"/>
    <w:rsid w:val="002926D4"/>
    <w:rsid w:val="00293D39"/>
    <w:rsid w:val="002C07DA"/>
    <w:rsid w:val="002C4D91"/>
    <w:rsid w:val="002C7EA9"/>
    <w:rsid w:val="002F2C66"/>
    <w:rsid w:val="00351FA5"/>
    <w:rsid w:val="00353651"/>
    <w:rsid w:val="003847B6"/>
    <w:rsid w:val="003A232C"/>
    <w:rsid w:val="003B6263"/>
    <w:rsid w:val="003C64A7"/>
    <w:rsid w:val="003D2996"/>
    <w:rsid w:val="003D3FDA"/>
    <w:rsid w:val="003F2317"/>
    <w:rsid w:val="00420822"/>
    <w:rsid w:val="0044136B"/>
    <w:rsid w:val="0045458F"/>
    <w:rsid w:val="0048150D"/>
    <w:rsid w:val="00486F61"/>
    <w:rsid w:val="004B6574"/>
    <w:rsid w:val="004D4A81"/>
    <w:rsid w:val="004E6AFE"/>
    <w:rsid w:val="00530E8C"/>
    <w:rsid w:val="005627B6"/>
    <w:rsid w:val="00577E6D"/>
    <w:rsid w:val="00587875"/>
    <w:rsid w:val="00607E2B"/>
    <w:rsid w:val="00614171"/>
    <w:rsid w:val="0063062B"/>
    <w:rsid w:val="00667229"/>
    <w:rsid w:val="00682BE5"/>
    <w:rsid w:val="006A38F8"/>
    <w:rsid w:val="006A3A40"/>
    <w:rsid w:val="006B54EB"/>
    <w:rsid w:val="006F77EE"/>
    <w:rsid w:val="007316EE"/>
    <w:rsid w:val="00732622"/>
    <w:rsid w:val="0074190C"/>
    <w:rsid w:val="00762576"/>
    <w:rsid w:val="007708E3"/>
    <w:rsid w:val="007A36D2"/>
    <w:rsid w:val="0080570B"/>
    <w:rsid w:val="008124FC"/>
    <w:rsid w:val="008148E1"/>
    <w:rsid w:val="008D0E09"/>
    <w:rsid w:val="008F1511"/>
    <w:rsid w:val="00905180"/>
    <w:rsid w:val="0097693B"/>
    <w:rsid w:val="0099708D"/>
    <w:rsid w:val="009A4A6D"/>
    <w:rsid w:val="00A016DB"/>
    <w:rsid w:val="00A01F69"/>
    <w:rsid w:val="00A36BE6"/>
    <w:rsid w:val="00A438A8"/>
    <w:rsid w:val="00A548EF"/>
    <w:rsid w:val="00A81268"/>
    <w:rsid w:val="00A85FBE"/>
    <w:rsid w:val="00AA474C"/>
    <w:rsid w:val="00AD7E5F"/>
    <w:rsid w:val="00B25D6A"/>
    <w:rsid w:val="00B30C81"/>
    <w:rsid w:val="00B55A0D"/>
    <w:rsid w:val="00B6729C"/>
    <w:rsid w:val="00BA2033"/>
    <w:rsid w:val="00BD0EAB"/>
    <w:rsid w:val="00BF663E"/>
    <w:rsid w:val="00C06FF8"/>
    <w:rsid w:val="00C15633"/>
    <w:rsid w:val="00C357AD"/>
    <w:rsid w:val="00CD5431"/>
    <w:rsid w:val="00CD75B4"/>
    <w:rsid w:val="00CE74EB"/>
    <w:rsid w:val="00CF2491"/>
    <w:rsid w:val="00D12909"/>
    <w:rsid w:val="00D57772"/>
    <w:rsid w:val="00D73DEB"/>
    <w:rsid w:val="00D75A4D"/>
    <w:rsid w:val="00D8478B"/>
    <w:rsid w:val="00D86151"/>
    <w:rsid w:val="00DA7595"/>
    <w:rsid w:val="00DB0A68"/>
    <w:rsid w:val="00DC43A3"/>
    <w:rsid w:val="00DD1618"/>
    <w:rsid w:val="00E035A1"/>
    <w:rsid w:val="00E11CD0"/>
    <w:rsid w:val="00E27437"/>
    <w:rsid w:val="00E5148A"/>
    <w:rsid w:val="00E61EC1"/>
    <w:rsid w:val="00E674D3"/>
    <w:rsid w:val="00E82D66"/>
    <w:rsid w:val="00ED4224"/>
    <w:rsid w:val="00EE78F0"/>
    <w:rsid w:val="00F26CFC"/>
    <w:rsid w:val="00F708AA"/>
    <w:rsid w:val="00F84067"/>
    <w:rsid w:val="00F93255"/>
    <w:rsid w:val="00FC2CE0"/>
    <w:rsid w:val="00FD592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2B035-67E4-482C-8895-EB9ABCF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C4D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Arnold</dc:creator>
  <cp:keywords/>
  <cp:lastModifiedBy>Forhadul Parvez</cp:lastModifiedBy>
  <cp:revision>9</cp:revision>
  <cp:lastPrinted>2013-06-07T02:48:00Z</cp:lastPrinted>
  <dcterms:created xsi:type="dcterms:W3CDTF">2015-04-20T02:46:00Z</dcterms:created>
  <dcterms:modified xsi:type="dcterms:W3CDTF">2015-09-28T02:49:00Z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